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15383">
      <w:pPr>
        <w:spacing w:line="600" w:lineRule="exact"/>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苏州大学食堂伙食物资供应商考核管理办法</w:t>
      </w:r>
    </w:p>
    <w:p w14:paraId="50B2C358">
      <w:pPr>
        <w:spacing w:line="600" w:lineRule="exact"/>
        <w:jc w:val="center"/>
        <w:rPr>
          <w:rFonts w:hint="eastAsia" w:ascii="方正小标宋_GBK" w:hAnsi="方正小标宋_GBK" w:eastAsia="方正小标宋_GBK" w:cs="方正小标宋_GBK"/>
          <w:sz w:val="40"/>
          <w:szCs w:val="40"/>
        </w:rPr>
      </w:pPr>
    </w:p>
    <w:p w14:paraId="3639A5F4">
      <w:pPr>
        <w:numPr>
          <w:ilvl w:val="0"/>
          <w:numId w:val="1"/>
        </w:numPr>
        <w:spacing w:line="580" w:lineRule="exact"/>
        <w:rPr>
          <w:rFonts w:ascii="黑体" w:hAnsi="黑体" w:eastAsia="黑体" w:cs="黑体"/>
          <w:sz w:val="32"/>
          <w:szCs w:val="32"/>
        </w:rPr>
      </w:pPr>
      <w:r>
        <w:rPr>
          <w:rFonts w:hint="eastAsia" w:ascii="黑体" w:hAnsi="黑体" w:eastAsia="黑体" w:cs="黑体"/>
          <w:sz w:val="32"/>
          <w:szCs w:val="32"/>
        </w:rPr>
        <w:t>总则</w:t>
      </w:r>
    </w:p>
    <w:p w14:paraId="459D99FE">
      <w:pPr>
        <w:spacing w:line="580" w:lineRule="exact"/>
        <w:ind w:firstLine="640" w:firstLineChars="200"/>
        <w:jc w:val="left"/>
        <w:rPr>
          <w:rFonts w:ascii="黑体" w:hAnsi="黑体" w:eastAsia="黑体" w:cs="黑体"/>
          <w:sz w:val="32"/>
          <w:szCs w:val="32"/>
        </w:rPr>
      </w:pPr>
      <w:r>
        <w:rPr>
          <w:rFonts w:hint="eastAsia" w:ascii="仿宋" w:hAnsi="仿宋" w:eastAsia="仿宋" w:cs="仿宋"/>
          <w:sz w:val="32"/>
          <w:szCs w:val="32"/>
        </w:rPr>
        <w:t>为了加强对供应商供货品质、服务质量的监督管理，按照学校和供应商签订的《苏州大学食堂伙食物资供货合同》的要求，在合同签订的年限内，学校对供应商的履约情况进行考核，特制定本考核管理办法。</w:t>
      </w:r>
    </w:p>
    <w:p w14:paraId="044ED163">
      <w:pPr>
        <w:numPr>
          <w:ilvl w:val="0"/>
          <w:numId w:val="1"/>
        </w:numPr>
        <w:spacing w:line="580" w:lineRule="exact"/>
        <w:rPr>
          <w:rFonts w:ascii="黑体" w:hAnsi="黑体" w:eastAsia="黑体" w:cs="黑体"/>
          <w:sz w:val="32"/>
          <w:szCs w:val="32"/>
        </w:rPr>
      </w:pPr>
      <w:r>
        <w:rPr>
          <w:rFonts w:hint="eastAsia" w:ascii="黑体" w:hAnsi="黑体" w:eastAsia="黑体" w:cs="黑体"/>
          <w:sz w:val="32"/>
          <w:szCs w:val="32"/>
        </w:rPr>
        <w:t>供应商的确定</w:t>
      </w:r>
    </w:p>
    <w:p w14:paraId="03AB7506">
      <w:pPr>
        <w:spacing w:line="580" w:lineRule="exact"/>
        <w:ind w:firstLine="640" w:firstLineChars="200"/>
        <w:rPr>
          <w:rFonts w:ascii="仿宋" w:hAnsi="仿宋" w:eastAsia="仿宋" w:cs="仿宋"/>
          <w:sz w:val="32"/>
          <w:szCs w:val="32"/>
        </w:rPr>
      </w:pPr>
      <w:r>
        <w:rPr>
          <w:rFonts w:hint="eastAsia" w:ascii="仿宋" w:hAnsi="仿宋" w:eastAsia="仿宋" w:cs="Times New Roman"/>
          <w:bCs/>
          <w:sz w:val="32"/>
          <w:szCs w:val="32"/>
          <w:lang w:val="zh-CN"/>
        </w:rPr>
        <w:t>供应商的来源，由</w:t>
      </w:r>
      <w:r>
        <w:rPr>
          <w:rFonts w:hint="eastAsia" w:ascii="仿宋" w:hAnsi="仿宋" w:eastAsia="仿宋" w:cs="Times New Roman"/>
          <w:bCs/>
          <w:sz w:val="32"/>
          <w:szCs w:val="32"/>
        </w:rPr>
        <w:t>苏州大学</w:t>
      </w:r>
      <w:r>
        <w:rPr>
          <w:rFonts w:hint="eastAsia" w:ascii="仿宋" w:hAnsi="仿宋" w:eastAsia="仿宋" w:cs="Times New Roman"/>
          <w:bCs/>
          <w:sz w:val="32"/>
          <w:szCs w:val="32"/>
          <w:lang w:val="zh-CN"/>
        </w:rPr>
        <w:t>采购</w:t>
      </w:r>
      <w:r>
        <w:rPr>
          <w:rFonts w:hint="eastAsia" w:ascii="仿宋" w:hAnsi="仿宋" w:eastAsia="仿宋" w:cs="Times New Roman"/>
          <w:bCs/>
          <w:sz w:val="32"/>
          <w:szCs w:val="32"/>
        </w:rPr>
        <w:t>与招投标管理</w:t>
      </w:r>
      <w:r>
        <w:rPr>
          <w:rFonts w:hint="eastAsia" w:ascii="仿宋" w:hAnsi="仿宋" w:eastAsia="仿宋" w:cs="Times New Roman"/>
          <w:bCs/>
          <w:sz w:val="32"/>
          <w:szCs w:val="32"/>
          <w:lang w:val="zh-CN"/>
        </w:rPr>
        <w:t>中心通过公开招标确定，</w:t>
      </w:r>
      <w:r>
        <w:rPr>
          <w:rFonts w:hint="eastAsia" w:ascii="仿宋" w:hAnsi="仿宋" w:eastAsia="仿宋" w:cs="Times New Roman"/>
          <w:bCs/>
          <w:sz w:val="32"/>
          <w:szCs w:val="32"/>
        </w:rPr>
        <w:t>具体评分标准见招标公告</w:t>
      </w:r>
      <w:r>
        <w:rPr>
          <w:rFonts w:hint="eastAsia" w:ascii="仿宋" w:hAnsi="仿宋" w:eastAsia="仿宋" w:cs="Times New Roman"/>
          <w:bCs/>
          <w:sz w:val="32"/>
          <w:szCs w:val="32"/>
          <w:lang w:val="zh-CN"/>
        </w:rPr>
        <w:t>。</w:t>
      </w:r>
    </w:p>
    <w:p w14:paraId="31A1D395">
      <w:pPr>
        <w:numPr>
          <w:ilvl w:val="0"/>
          <w:numId w:val="1"/>
        </w:numPr>
        <w:spacing w:line="580" w:lineRule="exact"/>
        <w:rPr>
          <w:rFonts w:ascii="黑体" w:hAnsi="黑体" w:eastAsia="黑体" w:cs="黑体"/>
          <w:sz w:val="32"/>
          <w:szCs w:val="32"/>
        </w:rPr>
      </w:pPr>
      <w:r>
        <w:rPr>
          <w:rFonts w:hint="eastAsia" w:ascii="黑体" w:hAnsi="黑体" w:eastAsia="黑体" w:cs="黑体"/>
          <w:sz w:val="32"/>
          <w:szCs w:val="32"/>
        </w:rPr>
        <w:t>供应商的日常管理</w:t>
      </w:r>
    </w:p>
    <w:p w14:paraId="274F60AA">
      <w:pPr>
        <w:spacing w:line="580" w:lineRule="exact"/>
        <w:ind w:firstLine="640" w:firstLineChars="200"/>
        <w:rPr>
          <w:rFonts w:ascii="仿宋" w:hAnsi="仿宋" w:eastAsia="仿宋" w:cs="Times New Roman"/>
          <w:bCs/>
          <w:sz w:val="32"/>
          <w:szCs w:val="32"/>
          <w:lang w:val="zh-CN"/>
        </w:rPr>
      </w:pPr>
      <w:r>
        <w:rPr>
          <w:rFonts w:hint="eastAsia" w:ascii="仿宋" w:hAnsi="仿宋" w:eastAsia="仿宋" w:cs="Times New Roman"/>
          <w:bCs/>
          <w:sz w:val="32"/>
          <w:szCs w:val="32"/>
          <w:lang w:val="zh-CN"/>
        </w:rPr>
        <w:t>供应商的日常管理由</w:t>
      </w:r>
      <w:r>
        <w:rPr>
          <w:rFonts w:hint="eastAsia" w:ascii="仿宋" w:hAnsi="仿宋" w:eastAsia="仿宋" w:cs="Times New Roman"/>
          <w:bCs/>
          <w:sz w:val="32"/>
          <w:szCs w:val="32"/>
        </w:rPr>
        <w:t>后勤管理处膳食管理科</w:t>
      </w:r>
      <w:r>
        <w:rPr>
          <w:rFonts w:hint="eastAsia" w:ascii="仿宋" w:hAnsi="仿宋" w:eastAsia="仿宋" w:cs="Times New Roman"/>
          <w:bCs/>
          <w:sz w:val="32"/>
          <w:szCs w:val="32"/>
          <w:lang w:val="zh-CN"/>
        </w:rPr>
        <w:t>负责。日常管理的重点内容包括：</w:t>
      </w:r>
    </w:p>
    <w:p w14:paraId="0931147A">
      <w:pPr>
        <w:spacing w:line="580" w:lineRule="exact"/>
        <w:ind w:firstLine="640" w:firstLineChars="200"/>
        <w:rPr>
          <w:rFonts w:ascii="楷体" w:hAnsi="楷体" w:eastAsia="楷体" w:cs="楷体"/>
          <w:bCs/>
          <w:sz w:val="32"/>
          <w:szCs w:val="32"/>
        </w:rPr>
      </w:pPr>
      <w:r>
        <w:rPr>
          <w:rFonts w:hint="eastAsia" w:ascii="楷体" w:hAnsi="楷体" w:eastAsia="楷体" w:cs="楷体"/>
          <w:bCs/>
          <w:sz w:val="32"/>
          <w:szCs w:val="32"/>
        </w:rPr>
        <w:t>1.供货方式</w:t>
      </w:r>
    </w:p>
    <w:p w14:paraId="418320FD">
      <w:pPr>
        <w:spacing w:line="580" w:lineRule="exact"/>
        <w:ind w:firstLine="640" w:firstLineChars="200"/>
        <w:rPr>
          <w:rFonts w:ascii="楷体" w:hAnsi="楷体" w:eastAsia="楷体" w:cs="楷体"/>
          <w:bCs/>
          <w:sz w:val="32"/>
          <w:szCs w:val="32"/>
        </w:rPr>
      </w:pPr>
      <w:r>
        <w:rPr>
          <w:rFonts w:hint="eastAsia" w:ascii="仿宋" w:hAnsi="仿宋" w:eastAsia="仿宋" w:cs="Times New Roman"/>
          <w:bCs/>
          <w:sz w:val="32"/>
          <w:szCs w:val="32"/>
        </w:rPr>
        <w:t>（1）供应商应按学校要求，按期、按质、按量送往学校指定地点，伙食物资供货量及品种不得少于订单的95%。</w:t>
      </w:r>
    </w:p>
    <w:p w14:paraId="657E9EB9">
      <w:pPr>
        <w:spacing w:line="580" w:lineRule="exact"/>
        <w:ind w:firstLine="640" w:firstLineChars="200"/>
        <w:rPr>
          <w:rFonts w:ascii="仿宋" w:hAnsi="仿宋" w:eastAsia="仿宋" w:cs="Times New Roman"/>
          <w:bCs/>
          <w:sz w:val="32"/>
          <w:szCs w:val="32"/>
        </w:rPr>
      </w:pPr>
      <w:r>
        <w:rPr>
          <w:rFonts w:hint="eastAsia" w:ascii="仿宋" w:hAnsi="仿宋" w:eastAsia="仿宋" w:cs="Times New Roman"/>
          <w:bCs/>
          <w:sz w:val="32"/>
          <w:szCs w:val="32"/>
        </w:rPr>
        <w:t>（2）供应商负责运输工具、装卸人员及具备在天赐庄、独墅湖、阳澄湖和未来校区的通行能力。</w:t>
      </w:r>
    </w:p>
    <w:p w14:paraId="11E45B41">
      <w:pPr>
        <w:spacing w:line="580" w:lineRule="exact"/>
        <w:ind w:firstLine="640" w:firstLineChars="200"/>
        <w:rPr>
          <w:rFonts w:ascii="仿宋" w:hAnsi="仿宋" w:eastAsia="仿宋" w:cs="Times New Roman"/>
          <w:bCs/>
          <w:sz w:val="32"/>
          <w:szCs w:val="32"/>
        </w:rPr>
      </w:pPr>
      <w:r>
        <w:rPr>
          <w:rFonts w:hint="eastAsia" w:ascii="仿宋" w:hAnsi="仿宋" w:eastAsia="仿宋" w:cs="Times New Roman"/>
          <w:bCs/>
          <w:sz w:val="32"/>
          <w:szCs w:val="32"/>
        </w:rPr>
        <w:t>（3）供应商在运输装卸过程中应充分注意安全，进入校区的车辆要特别注意，安全慢行。要遵守学校的各项安全、保卫管理制度。</w:t>
      </w:r>
    </w:p>
    <w:p w14:paraId="54234607">
      <w:pPr>
        <w:spacing w:line="580" w:lineRule="exact"/>
        <w:ind w:firstLine="640" w:firstLineChars="200"/>
        <w:rPr>
          <w:rFonts w:ascii="楷体" w:hAnsi="楷体" w:eastAsia="楷体" w:cs="楷体"/>
          <w:sz w:val="32"/>
          <w:szCs w:val="32"/>
        </w:rPr>
      </w:pPr>
      <w:r>
        <w:rPr>
          <w:rFonts w:hint="eastAsia" w:ascii="楷体" w:hAnsi="楷体" w:eastAsia="楷体" w:cs="楷体"/>
          <w:sz w:val="32"/>
          <w:szCs w:val="32"/>
        </w:rPr>
        <w:t>2.配送要求</w:t>
      </w:r>
    </w:p>
    <w:p w14:paraId="5BB44468">
      <w:pPr>
        <w:spacing w:line="580" w:lineRule="exact"/>
        <w:ind w:firstLine="640" w:firstLineChars="200"/>
        <w:rPr>
          <w:rFonts w:ascii="仿宋" w:hAnsi="仿宋" w:eastAsia="仿宋" w:cs="Times New Roman"/>
          <w:bCs/>
          <w:sz w:val="32"/>
          <w:szCs w:val="32"/>
          <w:lang w:val="zh-CN"/>
        </w:rPr>
      </w:pPr>
      <w:r>
        <w:rPr>
          <w:rFonts w:hint="eastAsia" w:ascii="仿宋" w:hAnsi="仿宋" w:eastAsia="仿宋" w:cs="Times New Roman"/>
          <w:bCs/>
          <w:sz w:val="32"/>
          <w:szCs w:val="32"/>
          <w:lang w:val="zh-CN"/>
        </w:rPr>
        <w:t>供应商必须严格按照订单数量、品种和加工要求进行供货，无特殊情况，必须按约定的时间送达指定食堂，不得以食堂在二楼的地理位置拒绝配送。同时供应商严格遵守学校的各项要求，包括人员、车辆按规定按时报备。</w:t>
      </w:r>
    </w:p>
    <w:p w14:paraId="30029F69">
      <w:pPr>
        <w:spacing w:line="580" w:lineRule="exact"/>
        <w:ind w:firstLine="640" w:firstLineChars="200"/>
        <w:rPr>
          <w:rFonts w:ascii="仿宋" w:hAnsi="仿宋" w:eastAsia="仿宋" w:cs="Times New Roman"/>
          <w:bCs/>
          <w:sz w:val="32"/>
          <w:szCs w:val="32"/>
        </w:rPr>
      </w:pPr>
      <w:r>
        <w:rPr>
          <w:rFonts w:hint="eastAsia" w:ascii="楷体" w:hAnsi="楷体" w:eastAsia="楷体" w:cs="楷体"/>
          <w:bCs/>
          <w:sz w:val="32"/>
          <w:szCs w:val="32"/>
        </w:rPr>
        <w:t>3.验收办法</w:t>
      </w:r>
    </w:p>
    <w:p w14:paraId="21C45C25">
      <w:pPr>
        <w:spacing w:line="580" w:lineRule="exact"/>
        <w:ind w:firstLine="640" w:firstLineChars="200"/>
        <w:rPr>
          <w:rFonts w:ascii="仿宋" w:hAnsi="仿宋" w:eastAsia="仿宋" w:cs="Times New Roman"/>
          <w:bCs/>
          <w:sz w:val="32"/>
          <w:szCs w:val="32"/>
        </w:rPr>
      </w:pPr>
      <w:r>
        <w:rPr>
          <w:rFonts w:hint="eastAsia" w:ascii="仿宋" w:hAnsi="仿宋" w:eastAsia="仿宋" w:cs="Times New Roman"/>
          <w:bCs/>
          <w:sz w:val="32"/>
          <w:szCs w:val="32"/>
        </w:rPr>
        <w:t>（1）</w:t>
      </w:r>
      <w:r>
        <w:rPr>
          <w:rFonts w:ascii="仿宋" w:hAnsi="仿宋" w:eastAsia="仿宋" w:cs="Times New Roman"/>
          <w:bCs/>
          <w:sz w:val="32"/>
          <w:szCs w:val="32"/>
        </w:rPr>
        <w:t>食品到达送货地点后，在</w:t>
      </w:r>
      <w:r>
        <w:rPr>
          <w:rFonts w:hint="eastAsia" w:ascii="仿宋" w:hAnsi="仿宋" w:eastAsia="仿宋" w:cs="Times New Roman"/>
          <w:bCs/>
          <w:sz w:val="32"/>
          <w:szCs w:val="32"/>
        </w:rPr>
        <w:t>学校</w:t>
      </w:r>
      <w:r>
        <w:rPr>
          <w:rFonts w:ascii="仿宋" w:hAnsi="仿宋" w:eastAsia="仿宋" w:cs="Times New Roman"/>
          <w:bCs/>
          <w:sz w:val="32"/>
          <w:szCs w:val="32"/>
        </w:rPr>
        <w:t>指定的验货区由食堂负责人或保管员验收质量和数量。</w:t>
      </w:r>
    </w:p>
    <w:p w14:paraId="5BB37C11">
      <w:pPr>
        <w:spacing w:line="580" w:lineRule="exact"/>
        <w:ind w:firstLine="640" w:firstLineChars="200"/>
        <w:rPr>
          <w:rFonts w:ascii="仿宋" w:hAnsi="仿宋" w:eastAsia="仿宋" w:cs="Times New Roman"/>
          <w:bCs/>
          <w:sz w:val="32"/>
          <w:szCs w:val="32"/>
        </w:rPr>
      </w:pPr>
      <w:r>
        <w:rPr>
          <w:rFonts w:hint="eastAsia" w:ascii="仿宋" w:hAnsi="仿宋" w:eastAsia="仿宋" w:cs="Times New Roman"/>
          <w:bCs/>
          <w:sz w:val="32"/>
          <w:szCs w:val="32"/>
        </w:rPr>
        <w:t>（2）</w:t>
      </w:r>
      <w:r>
        <w:rPr>
          <w:rFonts w:ascii="仿宋" w:hAnsi="仿宋" w:eastAsia="仿宋" w:cs="Times New Roman"/>
          <w:bCs/>
          <w:sz w:val="32"/>
          <w:szCs w:val="32"/>
        </w:rPr>
        <w:t>食品在验收时或使用过程中发现质量问题，</w:t>
      </w:r>
      <w:r>
        <w:rPr>
          <w:rFonts w:hint="eastAsia" w:ascii="仿宋" w:hAnsi="仿宋" w:eastAsia="仿宋" w:cs="Times New Roman"/>
          <w:bCs/>
          <w:sz w:val="32"/>
          <w:szCs w:val="32"/>
        </w:rPr>
        <w:t>供应商</w:t>
      </w:r>
      <w:r>
        <w:rPr>
          <w:rFonts w:ascii="仿宋" w:hAnsi="仿宋" w:eastAsia="仿宋" w:cs="Times New Roman"/>
          <w:bCs/>
          <w:sz w:val="32"/>
          <w:szCs w:val="32"/>
        </w:rPr>
        <w:t>须及时到现场解决，</w:t>
      </w:r>
      <w:r>
        <w:rPr>
          <w:rFonts w:hint="eastAsia" w:ascii="仿宋" w:hAnsi="仿宋" w:eastAsia="仿宋" w:cs="Times New Roman"/>
          <w:bCs/>
          <w:sz w:val="32"/>
          <w:szCs w:val="32"/>
        </w:rPr>
        <w:t>学校</w:t>
      </w:r>
      <w:r>
        <w:rPr>
          <w:rFonts w:ascii="仿宋" w:hAnsi="仿宋" w:eastAsia="仿宋" w:cs="Times New Roman"/>
          <w:bCs/>
          <w:sz w:val="32"/>
          <w:szCs w:val="32"/>
        </w:rPr>
        <w:t>有权要求</w:t>
      </w:r>
      <w:r>
        <w:rPr>
          <w:rFonts w:hint="eastAsia" w:ascii="仿宋" w:hAnsi="仿宋" w:eastAsia="仿宋" w:cs="Times New Roman"/>
          <w:bCs/>
          <w:sz w:val="32"/>
          <w:szCs w:val="32"/>
        </w:rPr>
        <w:t>供应商</w:t>
      </w:r>
      <w:r>
        <w:rPr>
          <w:rFonts w:ascii="仿宋" w:hAnsi="仿宋" w:eastAsia="仿宋" w:cs="Times New Roman"/>
          <w:bCs/>
          <w:sz w:val="32"/>
          <w:szCs w:val="32"/>
        </w:rPr>
        <w:t>退货或调换。</w:t>
      </w:r>
    </w:p>
    <w:p w14:paraId="5F4483BF">
      <w:pPr>
        <w:spacing w:line="580" w:lineRule="exact"/>
        <w:ind w:firstLine="640" w:firstLineChars="200"/>
        <w:rPr>
          <w:rFonts w:ascii="仿宋" w:hAnsi="仿宋" w:eastAsia="仿宋" w:cs="Times New Roman"/>
          <w:bCs/>
          <w:sz w:val="32"/>
          <w:szCs w:val="32"/>
        </w:rPr>
      </w:pPr>
      <w:r>
        <w:rPr>
          <w:rFonts w:hint="eastAsia" w:ascii="仿宋" w:hAnsi="仿宋" w:eastAsia="仿宋" w:cs="Times New Roman"/>
          <w:bCs/>
          <w:sz w:val="32"/>
          <w:szCs w:val="32"/>
        </w:rPr>
        <w:t>（3）学校</w:t>
      </w:r>
      <w:r>
        <w:rPr>
          <w:rFonts w:ascii="仿宋" w:hAnsi="仿宋" w:eastAsia="仿宋" w:cs="Times New Roman"/>
          <w:bCs/>
          <w:sz w:val="32"/>
          <w:szCs w:val="32"/>
        </w:rPr>
        <w:t>将不定期组织人员对</w:t>
      </w:r>
      <w:r>
        <w:rPr>
          <w:rFonts w:hint="eastAsia" w:ascii="仿宋" w:hAnsi="仿宋" w:eastAsia="仿宋" w:cs="Times New Roman"/>
          <w:bCs/>
          <w:sz w:val="32"/>
          <w:szCs w:val="32"/>
        </w:rPr>
        <w:t>供应商</w:t>
      </w:r>
      <w:r>
        <w:rPr>
          <w:rFonts w:ascii="仿宋" w:hAnsi="仿宋" w:eastAsia="仿宋" w:cs="Times New Roman"/>
          <w:bCs/>
          <w:sz w:val="32"/>
          <w:szCs w:val="32"/>
        </w:rPr>
        <w:t>的产品(食品)送检测部门进行检测。</w:t>
      </w:r>
    </w:p>
    <w:p w14:paraId="184B773D">
      <w:pPr>
        <w:spacing w:line="580" w:lineRule="exact"/>
        <w:ind w:firstLine="640" w:firstLineChars="200"/>
        <w:rPr>
          <w:rFonts w:ascii="楷体" w:hAnsi="楷体" w:eastAsia="楷体" w:cs="楷体"/>
          <w:bCs/>
          <w:sz w:val="32"/>
          <w:szCs w:val="32"/>
        </w:rPr>
      </w:pPr>
      <w:r>
        <w:rPr>
          <w:rFonts w:hint="eastAsia" w:ascii="楷体" w:hAnsi="楷体" w:eastAsia="楷体" w:cs="楷体"/>
          <w:bCs/>
          <w:sz w:val="32"/>
          <w:szCs w:val="32"/>
        </w:rPr>
        <w:t>4.价格管理</w:t>
      </w:r>
    </w:p>
    <w:p w14:paraId="794CE26A">
      <w:pPr>
        <w:spacing w:line="580" w:lineRule="exact"/>
        <w:ind w:firstLine="640" w:firstLineChars="200"/>
        <w:rPr>
          <w:rFonts w:ascii="仿宋" w:hAnsi="仿宋" w:eastAsia="仿宋" w:cs="楷体"/>
          <w:bCs/>
          <w:sz w:val="32"/>
          <w:szCs w:val="32"/>
        </w:rPr>
      </w:pPr>
      <w:r>
        <w:rPr>
          <w:rFonts w:hint="eastAsia" w:ascii="仿宋" w:hAnsi="仿宋" w:eastAsia="仿宋" w:cs="楷体"/>
          <w:bCs/>
          <w:sz w:val="32"/>
          <w:szCs w:val="32"/>
        </w:rPr>
        <w:t>（1）蔬菜、鸡蛋实行每周定价，具体以苏州市发展和改革委员会网站每周三公布的苏州市部分农贸市场零售均价为基准，扣除投标时承诺的下浮价格后作为结算价格。学校有需求但在苏州市发展和改革委员会网站公布明细中未列出的，将按照苏州市南环桥市场发展有限公司网站每周三公示的批发价平均价格结算。</w:t>
      </w:r>
    </w:p>
    <w:p w14:paraId="1F498802">
      <w:pPr>
        <w:spacing w:line="580" w:lineRule="exact"/>
        <w:ind w:firstLine="640" w:firstLineChars="200"/>
        <w:rPr>
          <w:rFonts w:ascii="仿宋" w:hAnsi="仿宋" w:eastAsia="仿宋" w:cs="楷体"/>
          <w:bCs/>
          <w:sz w:val="32"/>
          <w:szCs w:val="32"/>
        </w:rPr>
      </w:pPr>
      <w:r>
        <w:rPr>
          <w:rFonts w:hint="eastAsia" w:ascii="仿宋" w:hAnsi="仿宋" w:eastAsia="仿宋" w:cs="楷体"/>
          <w:bCs/>
          <w:sz w:val="32"/>
          <w:szCs w:val="32"/>
        </w:rPr>
        <w:t>（2）其他伙食物资价格以中标价为准。供货协议期内，供应商不得随意上调价格，下调价格不受限。当消费物价指数（CPI）或相关品类伙食物资市场价格发生大幅上涨时，即可启动价格调价程序。上调幅度一般不超过10%，否则学校有权决定是否重新招标。当伙食物资相关品种市场价格大幅下跌时，学校有权按照市场波动的情况，提出下调相关品种的供应结算价格。具体结算价格双方另行协商，协商不成，学校有权重新招标。供应商申请调价需以书面形式提出调价要求和市场价格变动的相关证据，学校经市场调研，确认涨、跌幅比例，履行相关程序后可对供货价格进行相应调整。价格调整前，供应商必须无条件保证正常供货。</w:t>
      </w:r>
    </w:p>
    <w:p w14:paraId="4906E8B9">
      <w:pPr>
        <w:widowControl/>
        <w:shd w:val="clear" w:color="auto" w:fill="FFFFFF"/>
        <w:spacing w:line="580" w:lineRule="exact"/>
        <w:ind w:firstLine="640" w:firstLineChars="200"/>
        <w:jc w:val="left"/>
        <w:rPr>
          <w:rFonts w:ascii="楷体" w:hAnsi="楷体" w:eastAsia="楷体" w:cs="楷体"/>
          <w:color w:val="333333"/>
          <w:kern w:val="0"/>
          <w:sz w:val="32"/>
          <w:szCs w:val="32"/>
          <w:shd w:val="clear" w:color="auto" w:fill="FFFFFF"/>
          <w:lang w:bidi="ar"/>
        </w:rPr>
      </w:pPr>
      <w:r>
        <w:rPr>
          <w:rFonts w:hint="eastAsia" w:ascii="楷体" w:hAnsi="楷体" w:eastAsia="楷体" w:cs="楷体"/>
          <w:color w:val="333333"/>
          <w:kern w:val="0"/>
          <w:sz w:val="32"/>
          <w:szCs w:val="32"/>
          <w:shd w:val="clear" w:color="auto" w:fill="FFFFFF"/>
          <w:lang w:bidi="ar"/>
        </w:rPr>
        <w:t>5.供应商考核</w:t>
      </w:r>
    </w:p>
    <w:p w14:paraId="38C6FE81">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在一轮服务周期结束后，学校组织服务对象对其服务情况进行考核，及时反馈，建立负面清单。考核采取评分法，基准分为100分，分别从服务态度、供货质量、供货与订单的一致性、送货准时性、提供索证索票情况等方面进行打分。具体考核内容见附件</w:t>
      </w:r>
      <w:r>
        <w:rPr>
          <w:rFonts w:ascii="仿宋" w:hAnsi="仿宋" w:eastAsia="仿宋" w:cs="仿宋"/>
          <w:sz w:val="32"/>
          <w:szCs w:val="32"/>
        </w:rPr>
        <w:t>1</w:t>
      </w:r>
      <w:r>
        <w:rPr>
          <w:rFonts w:hint="eastAsia" w:ascii="仿宋" w:hAnsi="仿宋" w:eastAsia="仿宋" w:cs="仿宋"/>
          <w:sz w:val="32"/>
          <w:szCs w:val="32"/>
        </w:rPr>
        <w:t>。</w:t>
      </w:r>
    </w:p>
    <w:p w14:paraId="018AEDC1">
      <w:pPr>
        <w:spacing w:line="580" w:lineRule="exact"/>
        <w:ind w:firstLine="640" w:firstLineChars="200"/>
        <w:rPr>
          <w:rFonts w:ascii="楷体" w:hAnsi="楷体" w:eastAsia="楷体" w:cs="楷体"/>
          <w:sz w:val="32"/>
          <w:szCs w:val="32"/>
        </w:rPr>
      </w:pPr>
      <w:r>
        <w:rPr>
          <w:rFonts w:hint="eastAsia" w:ascii="楷体" w:hAnsi="楷体" w:eastAsia="楷体" w:cs="楷体"/>
          <w:sz w:val="32"/>
          <w:szCs w:val="32"/>
        </w:rPr>
        <w:t>6.供应商违约处罚及淘汰机制</w:t>
      </w:r>
    </w:p>
    <w:p w14:paraId="53A200CD">
      <w:pPr>
        <w:widowControl/>
        <w:shd w:val="clear" w:color="auto" w:fill="FFFFFF"/>
        <w:spacing w:line="580" w:lineRule="exact"/>
        <w:ind w:firstLine="640" w:firstLineChars="200"/>
        <w:jc w:val="left"/>
        <w:rPr>
          <w:rFonts w:ascii="仿宋" w:hAnsi="仿宋" w:eastAsia="仿宋" w:cs="宋体"/>
          <w:sz w:val="32"/>
          <w:szCs w:val="32"/>
        </w:rPr>
      </w:pPr>
      <w:r>
        <w:rPr>
          <w:rFonts w:hint="eastAsia" w:ascii="仿宋" w:hAnsi="仿宋" w:eastAsia="仿宋" w:cs="仿宋"/>
          <w:sz w:val="32"/>
          <w:szCs w:val="32"/>
        </w:rPr>
        <w:t>（1）</w:t>
      </w:r>
      <w:r>
        <w:rPr>
          <w:rFonts w:hint="eastAsia" w:ascii="仿宋" w:hAnsi="仿宋" w:eastAsia="仿宋" w:cs="宋体"/>
          <w:sz w:val="32"/>
          <w:szCs w:val="32"/>
        </w:rPr>
        <w:t>学校对供应商在协议期内的供货及服务情况进行抽查，若连续三个月无实际供货，学校可直接取消其供货资格。</w:t>
      </w:r>
    </w:p>
    <w:p w14:paraId="42893671">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（2）供应商严禁与食堂采购人员私自线下交易、虚假交易，一旦发现将扣除履约保证金2000元，若出现第二次的，学校有权扣除其全部履约保证金直至取消其协议供应商资格。</w:t>
      </w:r>
    </w:p>
    <w:p w14:paraId="4392DA7E">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供应商不得以订货量少、缺货或价格亏损等借口不按学校订单要求供应，或未经允许(常规抽查等情况下)发现私自改变食材品牌产地、品种规格、数量、价格等情况，一旦发现将扣除履约保证金5000元，若出现第二次的，学校有权扣除其全部履约保证金直至取消其协议供应商资格。</w:t>
      </w:r>
    </w:p>
    <w:p w14:paraId="252F514F">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）供应商应保证其提供的食品符合国家相关的质量标准和要求。凡属食品质量问题(不包含因甲方保管不善而造成的质量问题),供应商应无条件负责退换货,并保证不影响甲方的日常供应。</w:t>
      </w:r>
    </w:p>
    <w:p w14:paraId="45FC4404">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5</w:t>
      </w:r>
      <w:r>
        <w:rPr>
          <w:rFonts w:hint="eastAsia" w:ascii="仿宋" w:hAnsi="仿宋" w:eastAsia="仿宋" w:cs="仿宋"/>
          <w:sz w:val="32"/>
          <w:szCs w:val="32"/>
        </w:rPr>
        <w:t>）供应商不能按时交货，每推迟1天(不足一天按一天计)，须向学校支付订单总金额1%的违约金，延迟供货超过3天或已影响到食堂正常运行的，学校可取消其协议供货资格，并扣除全部履约保证金。</w:t>
      </w:r>
    </w:p>
    <w:p w14:paraId="6CF95A7A">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6</w:t>
      </w:r>
      <w:r>
        <w:rPr>
          <w:rFonts w:hint="eastAsia" w:ascii="仿宋" w:hAnsi="仿宋" w:eastAsia="仿宋" w:cs="仿宋"/>
          <w:sz w:val="32"/>
          <w:szCs w:val="32"/>
        </w:rPr>
        <w:t>）供应商在供货过程中，如发生以下情况，将视为供应商违约，由供应商负责承担违约的全部责任和经济损失，除终止合同外，并扣除供应商的履约保证金，还将追究供应商的相关责任，同时列入苏州大学伙食物资采购负面清单，三年内不再接受该公司投标。</w:t>
      </w:r>
    </w:p>
    <w:p w14:paraId="2B4F5DDC">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①供应商提供的产品不符合国家食品安全相关规定，属于伪劣产品的。</w:t>
      </w:r>
    </w:p>
    <w:p w14:paraId="596857EA">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②因供应商提供的产品而引起的食品安全事故的。</w:t>
      </w:r>
    </w:p>
    <w:p w14:paraId="1F0EC760">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③供应商的送货无法满足学校的约定要求，影响学校正常工作的。</w:t>
      </w:r>
    </w:p>
    <w:p w14:paraId="60D7D64A">
      <w:pPr>
        <w:spacing w:line="580" w:lineRule="exact"/>
        <w:ind w:firstLine="640" w:firstLineChars="200"/>
        <w:rPr>
          <w:rFonts w:ascii="仿宋" w:hAnsi="仿宋" w:eastAsia="仿宋" w:cs="仿宋"/>
          <w:sz w:val="32"/>
          <w:szCs w:val="32"/>
        </w:rPr>
      </w:pPr>
      <w:r>
        <w:rPr>
          <w:rFonts w:hint="eastAsia" w:ascii="仿宋" w:hAnsi="仿宋" w:eastAsia="仿宋" w:cs="仿宋"/>
          <w:sz w:val="32"/>
          <w:szCs w:val="32"/>
        </w:rPr>
        <w:t>④供应商未经学校批准，擅自调整、更换、增删投标书中未注明的商品。</w:t>
      </w:r>
    </w:p>
    <w:p w14:paraId="2918B8DD">
      <w:pPr>
        <w:spacing w:line="580" w:lineRule="exact"/>
        <w:rPr>
          <w:rFonts w:ascii="黑体" w:hAnsi="黑体" w:eastAsia="黑体" w:cs="黑体"/>
          <w:sz w:val="32"/>
          <w:szCs w:val="32"/>
        </w:rPr>
      </w:pPr>
      <w:r>
        <w:rPr>
          <w:rFonts w:hint="eastAsia" w:ascii="黑体" w:hAnsi="黑体" w:eastAsia="黑体" w:cs="黑体"/>
          <w:sz w:val="32"/>
          <w:szCs w:val="32"/>
        </w:rPr>
        <w:t>四、建立供应商档案及信息库</w:t>
      </w:r>
    </w:p>
    <w:p w14:paraId="66632AD5">
      <w:pPr>
        <w:widowControl/>
        <w:shd w:val="clear" w:color="auto" w:fill="FFFFFF"/>
        <w:spacing w:line="580" w:lineRule="exact"/>
        <w:ind w:firstLine="640" w:firstLineChars="200"/>
        <w:jc w:val="left"/>
        <w:rPr>
          <w:rFonts w:ascii="仿宋" w:hAnsi="仿宋" w:eastAsia="仿宋"/>
          <w:bCs/>
          <w:sz w:val="32"/>
          <w:szCs w:val="32"/>
        </w:rPr>
      </w:pPr>
      <w:r>
        <w:rPr>
          <w:rFonts w:hint="eastAsia" w:ascii="仿宋" w:hAnsi="仿宋" w:eastAsia="仿宋"/>
          <w:bCs/>
          <w:sz w:val="32"/>
          <w:szCs w:val="32"/>
        </w:rPr>
        <w:t>学校建立供应商档案及信息库：包括营业执照、食品生产许可证、食品经营许可证、企业资质、经营业绩、企业信誉、服务承诺、客户评价等。</w:t>
      </w:r>
      <w:r>
        <w:rPr>
          <w:rFonts w:hint="eastAsia" w:ascii="仿宋" w:hAnsi="仿宋" w:eastAsia="仿宋" w:cs="仿宋"/>
          <w:sz w:val="32"/>
          <w:szCs w:val="32"/>
        </w:rPr>
        <w:t>供应商</w:t>
      </w:r>
      <w:r>
        <w:rPr>
          <w:rFonts w:hint="eastAsia" w:ascii="仿宋" w:hAnsi="仿宋" w:eastAsia="仿宋"/>
          <w:bCs/>
          <w:sz w:val="32"/>
          <w:szCs w:val="32"/>
        </w:rPr>
        <w:t>应及时更新并报备相关到期资质材料。</w:t>
      </w:r>
    </w:p>
    <w:p w14:paraId="7B5CE7EE">
      <w:pPr>
        <w:widowControl/>
        <w:shd w:val="clear" w:color="auto" w:fill="FFFFFF"/>
        <w:spacing w:line="580" w:lineRule="exact"/>
        <w:jc w:val="left"/>
        <w:rPr>
          <w:rFonts w:ascii="仿宋" w:hAnsi="仿宋" w:eastAsia="仿宋" w:cs="黑体"/>
          <w:bCs/>
          <w:sz w:val="32"/>
          <w:szCs w:val="32"/>
        </w:rPr>
      </w:pPr>
      <w:r>
        <w:rPr>
          <w:rFonts w:hint="eastAsia" w:ascii="黑体" w:hAnsi="黑体" w:eastAsia="黑体" w:cs="黑体"/>
          <w:bCs/>
          <w:sz w:val="32"/>
          <w:szCs w:val="32"/>
        </w:rPr>
        <w:t>五、</w:t>
      </w:r>
      <w:r>
        <w:rPr>
          <w:rFonts w:hint="eastAsia" w:ascii="仿宋" w:hAnsi="仿宋" w:eastAsia="仿宋" w:cs="黑体"/>
          <w:bCs/>
          <w:sz w:val="32"/>
          <w:szCs w:val="32"/>
        </w:rPr>
        <w:t>《苏州大学食堂伙食物资供应商考核管理办法》作为</w:t>
      </w:r>
      <w:r>
        <w:rPr>
          <w:rFonts w:ascii="仿宋" w:hAnsi="仿宋" w:eastAsia="仿宋" w:cs="黑体"/>
          <w:bCs/>
          <w:sz w:val="32"/>
          <w:szCs w:val="32"/>
        </w:rPr>
        <w:t>伙食</w:t>
      </w:r>
      <w:r>
        <w:rPr>
          <w:rFonts w:hint="eastAsia" w:ascii="仿宋" w:hAnsi="仿宋" w:eastAsia="仿宋" w:cs="黑体"/>
          <w:bCs/>
          <w:sz w:val="32"/>
          <w:szCs w:val="32"/>
        </w:rPr>
        <w:t>原材料在</w:t>
      </w:r>
      <w:r>
        <w:rPr>
          <w:rFonts w:ascii="仿宋" w:hAnsi="仿宋" w:eastAsia="仿宋" w:cs="黑体"/>
          <w:bCs/>
          <w:sz w:val="32"/>
          <w:szCs w:val="32"/>
        </w:rPr>
        <w:t>采购过程中供</w:t>
      </w:r>
      <w:bookmarkStart w:id="0" w:name="_GoBack"/>
      <w:bookmarkEnd w:id="0"/>
      <w:r>
        <w:rPr>
          <w:rFonts w:ascii="仿宋" w:hAnsi="仿宋" w:eastAsia="仿宋" w:cs="黑体"/>
          <w:bCs/>
          <w:sz w:val="32"/>
          <w:szCs w:val="32"/>
        </w:rPr>
        <w:t>货商管理的规范准则，</w:t>
      </w:r>
      <w:r>
        <w:rPr>
          <w:rFonts w:hint="eastAsia" w:ascii="仿宋" w:hAnsi="仿宋" w:eastAsia="仿宋" w:cs="黑体"/>
          <w:bCs/>
          <w:sz w:val="32"/>
          <w:szCs w:val="32"/>
        </w:rPr>
        <w:t>自招标内容生效之日起执行。</w:t>
      </w:r>
    </w:p>
    <w:p w14:paraId="520CC8F6">
      <w:pPr>
        <w:widowControl/>
        <w:shd w:val="clear" w:color="auto" w:fill="FFFFFF"/>
        <w:spacing w:line="580" w:lineRule="exact"/>
        <w:jc w:val="left"/>
        <w:rPr>
          <w:rFonts w:ascii="仿宋" w:hAnsi="仿宋" w:eastAsia="仿宋"/>
          <w:bCs/>
          <w:sz w:val="32"/>
          <w:szCs w:val="32"/>
          <w:lang w:val="zh-CN"/>
        </w:rPr>
      </w:pPr>
      <w:r>
        <w:rPr>
          <w:rFonts w:hint="eastAsia" w:ascii="黑体" w:hAnsi="黑体" w:eastAsia="黑体" w:cs="黑体"/>
          <w:bCs/>
          <w:sz w:val="32"/>
          <w:szCs w:val="32"/>
        </w:rPr>
        <w:t>六、</w:t>
      </w:r>
      <w:r>
        <w:rPr>
          <w:rFonts w:hint="eastAsia" w:ascii="仿宋" w:hAnsi="仿宋" w:eastAsia="仿宋"/>
          <w:bCs/>
          <w:sz w:val="32"/>
          <w:szCs w:val="32"/>
          <w:lang w:val="zh-CN"/>
        </w:rPr>
        <w:t>本管理办法最终解释权归学校。</w:t>
      </w:r>
    </w:p>
    <w:p w14:paraId="515B660F">
      <w:pPr>
        <w:widowControl/>
        <w:shd w:val="clear" w:color="auto" w:fill="FFFFFF"/>
        <w:spacing w:line="580" w:lineRule="exact"/>
        <w:ind w:firstLine="640" w:firstLineChars="200"/>
        <w:jc w:val="left"/>
        <w:rPr>
          <w:rFonts w:ascii="仿宋" w:hAnsi="仿宋" w:eastAsia="仿宋"/>
          <w:bCs/>
          <w:sz w:val="32"/>
          <w:szCs w:val="32"/>
        </w:rPr>
        <w:sectPr>
          <w:footerReference r:id="rId3" w:type="default"/>
          <w:pgSz w:w="11906" w:h="16838"/>
          <w:pgMar w:top="1440" w:right="1800" w:bottom="1440" w:left="1800" w:header="851" w:footer="992" w:gutter="0"/>
          <w:cols w:space="425" w:num="1"/>
          <w:docGrid w:type="lines" w:linePitch="312" w:charSpace="0"/>
        </w:sectPr>
      </w:pPr>
    </w:p>
    <w:p w14:paraId="5432969A">
      <w:pPr>
        <w:widowControl/>
        <w:shd w:val="clear" w:color="auto" w:fill="FFFFFF"/>
        <w:spacing w:line="368" w:lineRule="atLeast"/>
        <w:jc w:val="left"/>
        <w:rPr>
          <w:rFonts w:hint="eastAsia" w:ascii="方正小标宋_GBK" w:hAnsi="方正小标宋_GBK" w:eastAsia="方正小标宋_GBK" w:cs="方正小标宋_GBK"/>
          <w:bCs/>
          <w:sz w:val="36"/>
          <w:szCs w:val="36"/>
        </w:rPr>
      </w:pPr>
      <w:r>
        <w:rPr>
          <w:rFonts w:hint="eastAsia" w:ascii="仿宋" w:hAnsi="仿宋" w:eastAsia="仿宋"/>
          <w:bCs/>
          <w:sz w:val="32"/>
          <w:szCs w:val="32"/>
        </w:rPr>
        <w:t>附件1 供应商考核评分表</w:t>
      </w:r>
    </w:p>
    <w:p w14:paraId="444D112D">
      <w:pPr>
        <w:widowControl/>
        <w:shd w:val="clear" w:color="auto" w:fill="FFFFFF"/>
        <w:spacing w:line="368" w:lineRule="atLeast"/>
        <w:jc w:val="center"/>
        <w:rPr>
          <w:rFonts w:ascii="方正小标宋_GBK" w:hAnsi="方正小标宋_GBK" w:eastAsia="方正小标宋_GBK" w:cs="方正小标宋_GBK"/>
          <w:bCs/>
          <w:sz w:val="36"/>
          <w:szCs w:val="36"/>
        </w:rPr>
      </w:pPr>
      <w:r>
        <w:rPr>
          <w:rFonts w:hint="eastAsia" w:ascii="方正小标宋_GBK" w:hAnsi="方正小标宋_GBK" w:eastAsia="方正小标宋_GBK" w:cs="方正小标宋_GBK"/>
          <w:bCs/>
          <w:sz w:val="36"/>
          <w:szCs w:val="36"/>
        </w:rPr>
        <w:t>供应商考核评分表</w:t>
      </w:r>
    </w:p>
    <w:tbl>
      <w:tblPr>
        <w:tblStyle w:val="8"/>
        <w:tblW w:w="13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0"/>
        <w:gridCol w:w="1701"/>
        <w:gridCol w:w="2058"/>
        <w:gridCol w:w="1769"/>
        <w:gridCol w:w="1560"/>
        <w:gridCol w:w="2483"/>
        <w:gridCol w:w="1134"/>
        <w:gridCol w:w="1060"/>
      </w:tblGrid>
      <w:tr w14:paraId="6BD8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630" w:type="dxa"/>
            <w:vMerge w:val="restart"/>
            <w:vAlign w:val="center"/>
          </w:tcPr>
          <w:p w14:paraId="1CF46936">
            <w:pPr>
              <w:jc w:val="center"/>
              <w:rPr>
                <w:rFonts w:ascii="仿宋" w:hAnsi="仿宋" w:eastAsia="仿宋" w:cs="仿宋"/>
                <w:b/>
                <w:sz w:val="22"/>
                <w:szCs w:val="22"/>
              </w:rPr>
            </w:pPr>
            <w:r>
              <w:rPr>
                <w:rFonts w:hint="eastAsia" w:ascii="仿宋" w:hAnsi="仿宋" w:eastAsia="仿宋" w:cs="仿宋"/>
                <w:b/>
                <w:sz w:val="22"/>
                <w:szCs w:val="22"/>
              </w:rPr>
              <w:t>供应商单位</w:t>
            </w:r>
          </w:p>
        </w:tc>
        <w:tc>
          <w:tcPr>
            <w:tcW w:w="1701" w:type="dxa"/>
            <w:vAlign w:val="center"/>
          </w:tcPr>
          <w:p w14:paraId="6E0BBC7A">
            <w:pPr>
              <w:spacing w:line="240" w:lineRule="exact"/>
              <w:jc w:val="center"/>
              <w:rPr>
                <w:rFonts w:ascii="仿宋" w:hAnsi="仿宋" w:eastAsia="仿宋" w:cs="仿宋"/>
                <w:b/>
                <w:sz w:val="22"/>
                <w:szCs w:val="22"/>
              </w:rPr>
            </w:pPr>
            <w:r>
              <w:rPr>
                <w:rFonts w:hint="eastAsia" w:ascii="仿宋" w:hAnsi="仿宋" w:eastAsia="仿宋" w:cs="仿宋"/>
                <w:b/>
                <w:sz w:val="22"/>
                <w:szCs w:val="22"/>
              </w:rPr>
              <w:t>服务态度</w:t>
            </w:r>
          </w:p>
          <w:p w14:paraId="114F49B7">
            <w:pPr>
              <w:spacing w:line="240" w:lineRule="exact"/>
              <w:jc w:val="center"/>
              <w:rPr>
                <w:rFonts w:ascii="仿宋" w:hAnsi="仿宋" w:eastAsia="仿宋" w:cs="仿宋"/>
                <w:b/>
                <w:sz w:val="22"/>
                <w:szCs w:val="22"/>
              </w:rPr>
            </w:pPr>
            <w:r>
              <w:rPr>
                <w:rFonts w:hint="eastAsia" w:ascii="仿宋" w:hAnsi="仿宋" w:eastAsia="仿宋" w:cs="仿宋"/>
                <w:b/>
                <w:sz w:val="22"/>
                <w:szCs w:val="22"/>
              </w:rPr>
              <w:t>（10分）</w:t>
            </w:r>
          </w:p>
        </w:tc>
        <w:tc>
          <w:tcPr>
            <w:tcW w:w="2058" w:type="dxa"/>
            <w:vAlign w:val="center"/>
          </w:tcPr>
          <w:p w14:paraId="34EA9029">
            <w:pPr>
              <w:spacing w:line="240" w:lineRule="exact"/>
              <w:jc w:val="center"/>
              <w:rPr>
                <w:rFonts w:ascii="仿宋" w:hAnsi="仿宋" w:eastAsia="仿宋" w:cs="仿宋"/>
                <w:b/>
                <w:sz w:val="22"/>
                <w:szCs w:val="22"/>
              </w:rPr>
            </w:pPr>
            <w:r>
              <w:rPr>
                <w:rFonts w:hint="eastAsia" w:ascii="仿宋" w:hAnsi="仿宋" w:eastAsia="仿宋" w:cs="仿宋"/>
                <w:b/>
                <w:sz w:val="22"/>
                <w:szCs w:val="22"/>
              </w:rPr>
              <w:t>供货质量</w:t>
            </w:r>
          </w:p>
          <w:p w14:paraId="44111B1F">
            <w:pPr>
              <w:spacing w:line="240" w:lineRule="exact"/>
              <w:jc w:val="center"/>
              <w:rPr>
                <w:rFonts w:ascii="仿宋" w:hAnsi="仿宋" w:eastAsia="仿宋" w:cs="仿宋"/>
                <w:b/>
                <w:sz w:val="22"/>
                <w:szCs w:val="22"/>
              </w:rPr>
            </w:pPr>
            <w:r>
              <w:rPr>
                <w:rFonts w:hint="eastAsia" w:ascii="仿宋" w:hAnsi="仿宋" w:eastAsia="仿宋" w:cs="仿宋"/>
                <w:b/>
                <w:sz w:val="22"/>
                <w:szCs w:val="22"/>
              </w:rPr>
              <w:t>（30分）</w:t>
            </w:r>
          </w:p>
        </w:tc>
        <w:tc>
          <w:tcPr>
            <w:tcW w:w="1769" w:type="dxa"/>
            <w:vAlign w:val="center"/>
          </w:tcPr>
          <w:p w14:paraId="4B2CDC37">
            <w:pPr>
              <w:spacing w:line="240" w:lineRule="exact"/>
              <w:jc w:val="center"/>
              <w:rPr>
                <w:rFonts w:ascii="仿宋" w:hAnsi="仿宋" w:eastAsia="仿宋" w:cs="仿宋"/>
                <w:b/>
                <w:sz w:val="22"/>
                <w:szCs w:val="22"/>
              </w:rPr>
            </w:pPr>
            <w:r>
              <w:rPr>
                <w:rFonts w:hint="eastAsia" w:ascii="仿宋" w:hAnsi="仿宋" w:eastAsia="仿宋" w:cs="仿宋"/>
                <w:b/>
                <w:sz w:val="22"/>
                <w:szCs w:val="22"/>
              </w:rPr>
              <w:t>供货与订单的一致性（20分）</w:t>
            </w:r>
          </w:p>
        </w:tc>
        <w:tc>
          <w:tcPr>
            <w:tcW w:w="1560" w:type="dxa"/>
            <w:vAlign w:val="center"/>
          </w:tcPr>
          <w:p w14:paraId="756BB450">
            <w:pPr>
              <w:spacing w:line="240" w:lineRule="exact"/>
              <w:jc w:val="center"/>
              <w:rPr>
                <w:rFonts w:ascii="仿宋" w:hAnsi="仿宋" w:eastAsia="仿宋" w:cs="仿宋"/>
                <w:b/>
                <w:sz w:val="22"/>
                <w:szCs w:val="22"/>
              </w:rPr>
            </w:pPr>
            <w:r>
              <w:rPr>
                <w:rFonts w:hint="eastAsia" w:ascii="仿宋" w:hAnsi="仿宋" w:eastAsia="仿宋" w:cs="仿宋"/>
                <w:b/>
                <w:sz w:val="22"/>
                <w:szCs w:val="22"/>
              </w:rPr>
              <w:t>送货准时性</w:t>
            </w:r>
          </w:p>
          <w:p w14:paraId="0CFC1B19">
            <w:pPr>
              <w:spacing w:line="240" w:lineRule="exact"/>
              <w:jc w:val="center"/>
              <w:rPr>
                <w:rFonts w:ascii="仿宋" w:hAnsi="仿宋" w:eastAsia="仿宋" w:cs="仿宋"/>
                <w:b/>
                <w:sz w:val="22"/>
                <w:szCs w:val="22"/>
              </w:rPr>
            </w:pPr>
            <w:r>
              <w:rPr>
                <w:rFonts w:hint="eastAsia" w:ascii="仿宋" w:hAnsi="仿宋" w:eastAsia="仿宋" w:cs="仿宋"/>
                <w:b/>
                <w:sz w:val="22"/>
                <w:szCs w:val="22"/>
              </w:rPr>
              <w:t>（20分）</w:t>
            </w:r>
          </w:p>
        </w:tc>
        <w:tc>
          <w:tcPr>
            <w:tcW w:w="2483" w:type="dxa"/>
            <w:vAlign w:val="center"/>
          </w:tcPr>
          <w:p w14:paraId="5D0358CC">
            <w:pPr>
              <w:spacing w:line="240" w:lineRule="exact"/>
              <w:jc w:val="center"/>
              <w:rPr>
                <w:rFonts w:ascii="仿宋" w:hAnsi="仿宋" w:eastAsia="仿宋" w:cs="仿宋"/>
                <w:b/>
                <w:sz w:val="22"/>
                <w:szCs w:val="22"/>
              </w:rPr>
            </w:pPr>
            <w:r>
              <w:rPr>
                <w:rFonts w:hint="eastAsia" w:ascii="仿宋" w:hAnsi="仿宋" w:eastAsia="仿宋" w:cs="仿宋"/>
                <w:b/>
                <w:sz w:val="22"/>
                <w:szCs w:val="22"/>
              </w:rPr>
              <w:t>提供索证索票情况</w:t>
            </w:r>
          </w:p>
          <w:p w14:paraId="60D796D9">
            <w:pPr>
              <w:spacing w:line="240" w:lineRule="exact"/>
              <w:jc w:val="center"/>
              <w:rPr>
                <w:rFonts w:ascii="仿宋" w:hAnsi="仿宋" w:eastAsia="仿宋" w:cs="仿宋"/>
                <w:b/>
                <w:sz w:val="22"/>
                <w:szCs w:val="22"/>
              </w:rPr>
            </w:pPr>
            <w:r>
              <w:rPr>
                <w:rFonts w:hint="eastAsia" w:ascii="仿宋" w:hAnsi="仿宋" w:eastAsia="仿宋" w:cs="仿宋"/>
                <w:b/>
                <w:sz w:val="22"/>
                <w:szCs w:val="22"/>
              </w:rPr>
              <w:t>（20分）</w:t>
            </w:r>
          </w:p>
        </w:tc>
        <w:tc>
          <w:tcPr>
            <w:tcW w:w="1134" w:type="dxa"/>
            <w:vMerge w:val="restart"/>
            <w:vAlign w:val="center"/>
          </w:tcPr>
          <w:p w14:paraId="22554CF5">
            <w:pPr>
              <w:spacing w:line="240" w:lineRule="exact"/>
              <w:jc w:val="center"/>
              <w:rPr>
                <w:rFonts w:ascii="仿宋" w:hAnsi="仿宋" w:eastAsia="仿宋" w:cs="仿宋"/>
                <w:b/>
                <w:sz w:val="22"/>
                <w:szCs w:val="22"/>
              </w:rPr>
            </w:pPr>
            <w:r>
              <w:rPr>
                <w:rFonts w:hint="eastAsia" w:ascii="仿宋" w:hAnsi="仿宋" w:eastAsia="仿宋" w:cs="仿宋"/>
                <w:b/>
                <w:sz w:val="22"/>
                <w:szCs w:val="22"/>
              </w:rPr>
              <w:t>总分</w:t>
            </w:r>
          </w:p>
          <w:p w14:paraId="7EDCB6E9">
            <w:pPr>
              <w:spacing w:line="240" w:lineRule="exact"/>
              <w:jc w:val="center"/>
              <w:rPr>
                <w:rFonts w:ascii="仿宋" w:hAnsi="仿宋" w:eastAsia="仿宋" w:cs="仿宋"/>
                <w:b/>
                <w:sz w:val="22"/>
                <w:szCs w:val="22"/>
              </w:rPr>
            </w:pPr>
            <w:r>
              <w:rPr>
                <w:rFonts w:hint="eastAsia" w:ascii="仿宋" w:hAnsi="仿宋" w:eastAsia="仿宋" w:cs="仿宋"/>
                <w:b/>
                <w:sz w:val="22"/>
                <w:szCs w:val="22"/>
              </w:rPr>
              <w:t>（100分）</w:t>
            </w:r>
          </w:p>
        </w:tc>
        <w:tc>
          <w:tcPr>
            <w:tcW w:w="1060" w:type="dxa"/>
            <w:vMerge w:val="restart"/>
            <w:vAlign w:val="center"/>
          </w:tcPr>
          <w:p w14:paraId="12EFEF4C">
            <w:pPr>
              <w:spacing w:line="240" w:lineRule="exact"/>
              <w:jc w:val="center"/>
              <w:rPr>
                <w:rFonts w:ascii="仿宋" w:hAnsi="仿宋" w:eastAsia="仿宋" w:cs="仿宋"/>
                <w:b/>
                <w:sz w:val="22"/>
                <w:szCs w:val="22"/>
              </w:rPr>
            </w:pPr>
            <w:r>
              <w:rPr>
                <w:rFonts w:hint="eastAsia" w:ascii="仿宋" w:hAnsi="仿宋" w:eastAsia="仿宋" w:cs="仿宋"/>
                <w:b/>
                <w:sz w:val="22"/>
                <w:szCs w:val="22"/>
              </w:rPr>
              <w:t>排名</w:t>
            </w:r>
          </w:p>
        </w:tc>
      </w:tr>
      <w:tr w14:paraId="59810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jc w:val="center"/>
        </w:trPr>
        <w:tc>
          <w:tcPr>
            <w:tcW w:w="1630" w:type="dxa"/>
            <w:vMerge w:val="continue"/>
            <w:vAlign w:val="center"/>
          </w:tcPr>
          <w:p w14:paraId="592D6842">
            <w:pPr>
              <w:jc w:val="center"/>
              <w:rPr>
                <w:rFonts w:cs="仿宋" w:asciiTheme="minorEastAsia" w:hAnsiTheme="minorEastAsia"/>
                <w:b/>
                <w:szCs w:val="21"/>
              </w:rPr>
            </w:pPr>
          </w:p>
        </w:tc>
        <w:tc>
          <w:tcPr>
            <w:tcW w:w="1701" w:type="dxa"/>
            <w:vAlign w:val="center"/>
          </w:tcPr>
          <w:p w14:paraId="0A92F82E">
            <w:pPr>
              <w:spacing w:line="240" w:lineRule="exact"/>
              <w:rPr>
                <w:rFonts w:cs="仿宋" w:asciiTheme="minorEastAsia" w:hAnsiTheme="minorEastAsia"/>
                <w:szCs w:val="21"/>
              </w:rPr>
            </w:pPr>
            <w:r>
              <w:rPr>
                <w:rFonts w:hint="eastAsia" w:cs="仿宋" w:asciiTheme="minorEastAsia" w:hAnsiTheme="minorEastAsia"/>
                <w:szCs w:val="21"/>
              </w:rPr>
              <w:t>1.及时提供质保及售后服务，沟通顺畅，响应及时，处理问题能力；</w:t>
            </w:r>
          </w:p>
          <w:p w14:paraId="4347B8BB">
            <w:pPr>
              <w:spacing w:line="240" w:lineRule="exact"/>
              <w:rPr>
                <w:rFonts w:cs="仿宋" w:asciiTheme="minorEastAsia" w:hAnsiTheme="minorEastAsia"/>
                <w:szCs w:val="21"/>
              </w:rPr>
            </w:pPr>
            <w:r>
              <w:rPr>
                <w:rFonts w:cs="仿宋" w:asciiTheme="minorEastAsia" w:hAnsiTheme="minorEastAsia"/>
                <w:szCs w:val="21"/>
              </w:rPr>
              <w:t>2</w:t>
            </w:r>
            <w:r>
              <w:rPr>
                <w:rFonts w:hint="eastAsia" w:cs="仿宋" w:asciiTheme="minorEastAsia" w:hAnsiTheme="minorEastAsia"/>
                <w:szCs w:val="21"/>
              </w:rPr>
              <w:t>.积极响应学校要求，配合学校各类活动。</w:t>
            </w:r>
          </w:p>
          <w:p w14:paraId="648FE93D">
            <w:pPr>
              <w:rPr>
                <w:rFonts w:ascii="仿宋" w:hAnsi="仿宋" w:eastAsia="仿宋" w:cs="仿宋"/>
                <w:szCs w:val="21"/>
              </w:rPr>
            </w:pPr>
          </w:p>
        </w:tc>
        <w:tc>
          <w:tcPr>
            <w:tcW w:w="2058" w:type="dxa"/>
            <w:vAlign w:val="center"/>
          </w:tcPr>
          <w:p w14:paraId="14CF5DB6">
            <w:pPr>
              <w:spacing w:line="240" w:lineRule="exact"/>
              <w:rPr>
                <w:rFonts w:cs="仿宋" w:asciiTheme="minorEastAsia" w:hAnsiTheme="minorEastAsia"/>
                <w:szCs w:val="21"/>
              </w:rPr>
            </w:pPr>
            <w:r>
              <w:rPr>
                <w:rFonts w:hint="eastAsia" w:cs="仿宋" w:asciiTheme="minorEastAsia" w:hAnsiTheme="minorEastAsia"/>
                <w:szCs w:val="21"/>
              </w:rPr>
              <w:t>1.提供的物资及原材料符合国家食品安全相关规定；</w:t>
            </w:r>
          </w:p>
          <w:p w14:paraId="724AC7C3">
            <w:pPr>
              <w:spacing w:line="240" w:lineRule="exact"/>
              <w:rPr>
                <w:rFonts w:cs="仿宋" w:asciiTheme="minorEastAsia" w:hAnsiTheme="minorEastAsia"/>
                <w:szCs w:val="21"/>
              </w:rPr>
            </w:pPr>
            <w:r>
              <w:rPr>
                <w:rFonts w:hint="eastAsia" w:cs="仿宋" w:asciiTheme="minorEastAsia" w:hAnsiTheme="minorEastAsia"/>
                <w:szCs w:val="21"/>
              </w:rPr>
              <w:t>2.产品包装标签信息齐全、清晰，完整清楚；</w:t>
            </w:r>
          </w:p>
          <w:p w14:paraId="20C53671">
            <w:pPr>
              <w:spacing w:line="240" w:lineRule="exact"/>
              <w:rPr>
                <w:rFonts w:ascii="仿宋" w:hAnsi="仿宋" w:eastAsia="仿宋" w:cs="仿宋"/>
                <w:szCs w:val="21"/>
              </w:rPr>
            </w:pPr>
            <w:r>
              <w:rPr>
                <w:rFonts w:hint="eastAsia" w:cs="仿宋" w:asciiTheme="minorEastAsia" w:hAnsiTheme="minorEastAsia"/>
                <w:szCs w:val="21"/>
              </w:rPr>
              <w:t>3</w:t>
            </w:r>
            <w:r>
              <w:rPr>
                <w:rFonts w:cs="仿宋" w:asciiTheme="minorEastAsia" w:hAnsiTheme="minorEastAsia"/>
                <w:szCs w:val="21"/>
              </w:rPr>
              <w:t>.</w:t>
            </w:r>
            <w:r>
              <w:rPr>
                <w:rFonts w:hint="eastAsia" w:cs="仿宋" w:asciiTheme="minorEastAsia" w:hAnsiTheme="minorEastAsia"/>
                <w:szCs w:val="21"/>
              </w:rPr>
              <w:t xml:space="preserve"> 食材新鲜，无腐烂、无变质、无虫病害及过期。</w:t>
            </w:r>
          </w:p>
        </w:tc>
        <w:tc>
          <w:tcPr>
            <w:tcW w:w="1769" w:type="dxa"/>
            <w:vAlign w:val="center"/>
          </w:tcPr>
          <w:p w14:paraId="7E38F62A">
            <w:pPr>
              <w:spacing w:line="240" w:lineRule="exact"/>
              <w:rPr>
                <w:rFonts w:cs="仿宋" w:asciiTheme="minorEastAsia" w:hAnsiTheme="minorEastAsia"/>
                <w:szCs w:val="21"/>
              </w:rPr>
            </w:pPr>
            <w:r>
              <w:rPr>
                <w:rFonts w:hint="eastAsia" w:cs="仿宋" w:asciiTheme="minorEastAsia" w:hAnsiTheme="minorEastAsia"/>
                <w:szCs w:val="21"/>
              </w:rPr>
              <w:t>1.实际送货与订单中品类、数量、规格一致，送货价格与中标价格一致；</w:t>
            </w:r>
          </w:p>
          <w:p w14:paraId="5A7B0B93">
            <w:pPr>
              <w:spacing w:line="240" w:lineRule="exact"/>
              <w:rPr>
                <w:rFonts w:ascii="仿宋" w:hAnsi="仿宋" w:eastAsia="仿宋" w:cs="仿宋"/>
                <w:szCs w:val="21"/>
              </w:rPr>
            </w:pPr>
            <w:r>
              <w:rPr>
                <w:rFonts w:cs="仿宋" w:asciiTheme="minorEastAsia" w:hAnsiTheme="minorEastAsia"/>
                <w:szCs w:val="21"/>
              </w:rPr>
              <w:t>2</w:t>
            </w:r>
            <w:r>
              <w:rPr>
                <w:rFonts w:hint="eastAsia" w:cs="仿宋" w:asciiTheme="minorEastAsia" w:hAnsiTheme="minorEastAsia"/>
                <w:szCs w:val="21"/>
              </w:rPr>
              <w:t>.按照中标标段配送产品，未出现超范围配送的情况。</w:t>
            </w:r>
          </w:p>
        </w:tc>
        <w:tc>
          <w:tcPr>
            <w:tcW w:w="1560" w:type="dxa"/>
            <w:vAlign w:val="center"/>
          </w:tcPr>
          <w:p w14:paraId="587333ED">
            <w:pPr>
              <w:spacing w:line="240" w:lineRule="exact"/>
              <w:rPr>
                <w:rFonts w:cs="仿宋" w:asciiTheme="minorEastAsia" w:hAnsiTheme="minorEastAsia"/>
                <w:szCs w:val="21"/>
              </w:rPr>
            </w:pPr>
            <w:r>
              <w:rPr>
                <w:rFonts w:hint="eastAsia" w:cs="仿宋" w:asciiTheme="minorEastAsia" w:hAnsiTheme="minorEastAsia"/>
                <w:szCs w:val="21"/>
              </w:rPr>
              <w:t>1.收到订单后在规定时间内配送，无延迟；</w:t>
            </w:r>
          </w:p>
          <w:p w14:paraId="569BF8CB">
            <w:pPr>
              <w:spacing w:line="240" w:lineRule="exact"/>
              <w:rPr>
                <w:rFonts w:cs="仿宋" w:asciiTheme="minorEastAsia" w:hAnsiTheme="minorEastAsia"/>
                <w:szCs w:val="21"/>
              </w:rPr>
            </w:pPr>
            <w:r>
              <w:rPr>
                <w:rFonts w:hint="eastAsia" w:cs="仿宋" w:asciiTheme="minorEastAsia" w:hAnsiTheme="minorEastAsia"/>
                <w:szCs w:val="21"/>
              </w:rPr>
              <w:t>2.遇退换货或突发等情况时</w:t>
            </w:r>
          </w:p>
          <w:p w14:paraId="76327D92">
            <w:pPr>
              <w:spacing w:line="240" w:lineRule="exact"/>
              <w:rPr>
                <w:rFonts w:ascii="仿宋" w:hAnsi="仿宋" w:eastAsia="仿宋" w:cs="仿宋"/>
                <w:szCs w:val="21"/>
              </w:rPr>
            </w:pPr>
            <w:r>
              <w:rPr>
                <w:rFonts w:hint="eastAsia" w:cs="仿宋" w:asciiTheme="minorEastAsia" w:hAnsiTheme="minorEastAsia"/>
                <w:szCs w:val="21"/>
              </w:rPr>
              <w:t>优先保供校内食堂。</w:t>
            </w:r>
          </w:p>
        </w:tc>
        <w:tc>
          <w:tcPr>
            <w:tcW w:w="2483" w:type="dxa"/>
            <w:vAlign w:val="center"/>
          </w:tcPr>
          <w:p w14:paraId="50932DF7">
            <w:pPr>
              <w:spacing w:line="240" w:lineRule="exact"/>
              <w:rPr>
                <w:rFonts w:cs="仿宋" w:asciiTheme="minorEastAsia" w:hAnsiTheme="minorEastAsia"/>
                <w:szCs w:val="21"/>
              </w:rPr>
            </w:pPr>
            <w:r>
              <w:rPr>
                <w:rFonts w:hint="eastAsia" w:cs="仿宋" w:asciiTheme="minorEastAsia" w:hAnsiTheme="minorEastAsia"/>
                <w:szCs w:val="21"/>
              </w:rPr>
              <w:t>1.提供供应商有效期内的营业执照、食品经营许可证等资质材料；</w:t>
            </w:r>
          </w:p>
          <w:p w14:paraId="690A065B">
            <w:pPr>
              <w:spacing w:line="240" w:lineRule="exact"/>
              <w:rPr>
                <w:rFonts w:ascii="仿宋" w:hAnsi="仿宋" w:eastAsia="仿宋" w:cs="仿宋"/>
                <w:szCs w:val="21"/>
              </w:rPr>
            </w:pPr>
            <w:r>
              <w:rPr>
                <w:rFonts w:hint="eastAsia" w:cs="仿宋" w:asciiTheme="minorEastAsia" w:hAnsiTheme="minorEastAsia"/>
                <w:szCs w:val="21"/>
              </w:rPr>
              <w:t>2.每批次产品提供质量检测报告、检验检疫证明、农药残留检测报告、合格证书等相关索证，并提供完整信息的送货清单。</w:t>
            </w:r>
          </w:p>
        </w:tc>
        <w:tc>
          <w:tcPr>
            <w:tcW w:w="1134" w:type="dxa"/>
            <w:vMerge w:val="continue"/>
            <w:vAlign w:val="center"/>
          </w:tcPr>
          <w:p w14:paraId="583BC6E0">
            <w:pPr>
              <w:spacing w:line="240" w:lineRule="exact"/>
              <w:jc w:val="center"/>
              <w:rPr>
                <w:rFonts w:cs="仿宋" w:asciiTheme="minorEastAsia" w:hAnsiTheme="minorEastAsia"/>
                <w:b/>
                <w:szCs w:val="21"/>
              </w:rPr>
            </w:pPr>
          </w:p>
        </w:tc>
        <w:tc>
          <w:tcPr>
            <w:tcW w:w="1060" w:type="dxa"/>
            <w:vMerge w:val="continue"/>
            <w:vAlign w:val="center"/>
          </w:tcPr>
          <w:p w14:paraId="0C841051">
            <w:pPr>
              <w:spacing w:line="240" w:lineRule="exact"/>
              <w:jc w:val="center"/>
              <w:rPr>
                <w:rFonts w:cs="仿宋" w:asciiTheme="minorEastAsia" w:hAnsiTheme="minorEastAsia"/>
                <w:b/>
                <w:szCs w:val="21"/>
              </w:rPr>
            </w:pPr>
          </w:p>
        </w:tc>
      </w:tr>
      <w:tr w14:paraId="23DD8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30" w:type="dxa"/>
            <w:vAlign w:val="center"/>
          </w:tcPr>
          <w:p w14:paraId="1B65A21C">
            <w:pPr>
              <w:widowControl/>
              <w:jc w:val="left"/>
              <w:textAlignment w:val="center"/>
              <w:rPr>
                <w:rFonts w:cs="仿宋" w:asciiTheme="minorEastAsia" w:hAnsiTheme="minorEastAsia"/>
                <w:b/>
                <w:szCs w:val="21"/>
              </w:rPr>
            </w:pPr>
          </w:p>
        </w:tc>
        <w:tc>
          <w:tcPr>
            <w:tcW w:w="1701" w:type="dxa"/>
            <w:vAlign w:val="center"/>
          </w:tcPr>
          <w:p w14:paraId="5908DFFC">
            <w:pPr>
              <w:widowControl/>
              <w:jc w:val="center"/>
              <w:textAlignment w:val="center"/>
              <w:rPr>
                <w:rFonts w:ascii="Times New Roman" w:hAnsi="Times New Roman" w:cs="Times New Roman"/>
                <w:b/>
                <w:szCs w:val="21"/>
              </w:rPr>
            </w:pPr>
          </w:p>
        </w:tc>
        <w:tc>
          <w:tcPr>
            <w:tcW w:w="2058" w:type="dxa"/>
            <w:vAlign w:val="center"/>
          </w:tcPr>
          <w:p w14:paraId="32FE7E0A">
            <w:pPr>
              <w:widowControl/>
              <w:jc w:val="center"/>
              <w:textAlignment w:val="center"/>
              <w:rPr>
                <w:rFonts w:ascii="Times New Roman" w:hAnsi="Times New Roman" w:cs="Times New Roman"/>
                <w:b/>
                <w:szCs w:val="21"/>
              </w:rPr>
            </w:pPr>
          </w:p>
        </w:tc>
        <w:tc>
          <w:tcPr>
            <w:tcW w:w="1769" w:type="dxa"/>
            <w:vAlign w:val="center"/>
          </w:tcPr>
          <w:p w14:paraId="61952A53">
            <w:pPr>
              <w:widowControl/>
              <w:jc w:val="center"/>
              <w:textAlignment w:val="center"/>
              <w:rPr>
                <w:rFonts w:ascii="Times New Roman" w:hAnsi="Times New Roman" w:cs="Times New Roman"/>
                <w:b/>
                <w:szCs w:val="21"/>
              </w:rPr>
            </w:pPr>
          </w:p>
        </w:tc>
        <w:tc>
          <w:tcPr>
            <w:tcW w:w="1560" w:type="dxa"/>
            <w:vAlign w:val="center"/>
          </w:tcPr>
          <w:p w14:paraId="0F440C25">
            <w:pPr>
              <w:widowControl/>
              <w:jc w:val="center"/>
              <w:textAlignment w:val="center"/>
              <w:rPr>
                <w:rFonts w:ascii="Times New Roman" w:hAnsi="Times New Roman" w:cs="Times New Roman"/>
                <w:b/>
                <w:szCs w:val="21"/>
              </w:rPr>
            </w:pPr>
          </w:p>
        </w:tc>
        <w:tc>
          <w:tcPr>
            <w:tcW w:w="2483" w:type="dxa"/>
            <w:vAlign w:val="center"/>
          </w:tcPr>
          <w:p w14:paraId="24561DFA">
            <w:pPr>
              <w:widowControl/>
              <w:jc w:val="center"/>
              <w:textAlignment w:val="center"/>
              <w:rPr>
                <w:rFonts w:ascii="Times New Roman" w:hAnsi="Times New Roman" w:cs="Times New Roman"/>
                <w:b/>
                <w:szCs w:val="21"/>
              </w:rPr>
            </w:pPr>
          </w:p>
        </w:tc>
        <w:tc>
          <w:tcPr>
            <w:tcW w:w="1134" w:type="dxa"/>
            <w:vAlign w:val="center"/>
          </w:tcPr>
          <w:p w14:paraId="73EA71E5">
            <w:pPr>
              <w:widowControl/>
              <w:jc w:val="center"/>
              <w:textAlignment w:val="center"/>
              <w:rPr>
                <w:rFonts w:ascii="Times New Roman" w:hAnsi="Times New Roman" w:cs="Times New Roman"/>
                <w:b/>
                <w:szCs w:val="21"/>
              </w:rPr>
            </w:pPr>
          </w:p>
        </w:tc>
        <w:tc>
          <w:tcPr>
            <w:tcW w:w="1060" w:type="dxa"/>
            <w:vAlign w:val="center"/>
          </w:tcPr>
          <w:p w14:paraId="1EFCAD76">
            <w:pPr>
              <w:spacing w:line="240" w:lineRule="exact"/>
              <w:jc w:val="center"/>
              <w:rPr>
                <w:rFonts w:ascii="Times New Roman" w:hAnsi="Times New Roman" w:cs="Times New Roman"/>
                <w:bCs/>
                <w:szCs w:val="21"/>
              </w:rPr>
            </w:pPr>
          </w:p>
        </w:tc>
      </w:tr>
      <w:tr w14:paraId="7F75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630" w:type="dxa"/>
            <w:vAlign w:val="center"/>
          </w:tcPr>
          <w:p w14:paraId="6E3053B8">
            <w:pPr>
              <w:widowControl/>
              <w:jc w:val="left"/>
              <w:textAlignment w:val="center"/>
              <w:rPr>
                <w:rFonts w:cs="仿宋" w:asciiTheme="minorEastAsia" w:hAnsiTheme="minorEastAsia"/>
                <w:b/>
                <w:szCs w:val="21"/>
              </w:rPr>
            </w:pPr>
          </w:p>
        </w:tc>
        <w:tc>
          <w:tcPr>
            <w:tcW w:w="1701" w:type="dxa"/>
            <w:vAlign w:val="center"/>
          </w:tcPr>
          <w:p w14:paraId="232A99BD">
            <w:pPr>
              <w:widowControl/>
              <w:jc w:val="center"/>
              <w:textAlignment w:val="center"/>
              <w:rPr>
                <w:rFonts w:ascii="Times New Roman" w:hAnsi="Times New Roman" w:cs="Times New Roman"/>
                <w:b/>
                <w:szCs w:val="21"/>
              </w:rPr>
            </w:pPr>
          </w:p>
        </w:tc>
        <w:tc>
          <w:tcPr>
            <w:tcW w:w="2058" w:type="dxa"/>
            <w:vAlign w:val="center"/>
          </w:tcPr>
          <w:p w14:paraId="2A0C15F1">
            <w:pPr>
              <w:widowControl/>
              <w:jc w:val="center"/>
              <w:textAlignment w:val="center"/>
              <w:rPr>
                <w:rFonts w:ascii="Times New Roman" w:hAnsi="Times New Roman" w:cs="Times New Roman"/>
                <w:b/>
                <w:szCs w:val="21"/>
              </w:rPr>
            </w:pPr>
          </w:p>
        </w:tc>
        <w:tc>
          <w:tcPr>
            <w:tcW w:w="1769" w:type="dxa"/>
            <w:vAlign w:val="center"/>
          </w:tcPr>
          <w:p w14:paraId="4A70D2B8">
            <w:pPr>
              <w:widowControl/>
              <w:jc w:val="center"/>
              <w:textAlignment w:val="center"/>
              <w:rPr>
                <w:rFonts w:ascii="Times New Roman" w:hAnsi="Times New Roman" w:cs="Times New Roman"/>
                <w:b/>
                <w:szCs w:val="21"/>
              </w:rPr>
            </w:pPr>
          </w:p>
        </w:tc>
        <w:tc>
          <w:tcPr>
            <w:tcW w:w="1560" w:type="dxa"/>
            <w:vAlign w:val="center"/>
          </w:tcPr>
          <w:p w14:paraId="5525D2EB">
            <w:pPr>
              <w:widowControl/>
              <w:jc w:val="center"/>
              <w:textAlignment w:val="center"/>
              <w:rPr>
                <w:rFonts w:ascii="Times New Roman" w:hAnsi="Times New Roman" w:cs="Times New Roman"/>
                <w:b/>
                <w:szCs w:val="21"/>
              </w:rPr>
            </w:pPr>
          </w:p>
        </w:tc>
        <w:tc>
          <w:tcPr>
            <w:tcW w:w="2483" w:type="dxa"/>
            <w:vAlign w:val="center"/>
          </w:tcPr>
          <w:p w14:paraId="1A9672AB">
            <w:pPr>
              <w:widowControl/>
              <w:jc w:val="center"/>
              <w:textAlignment w:val="center"/>
              <w:rPr>
                <w:rFonts w:ascii="Times New Roman" w:hAnsi="Times New Roman" w:cs="Times New Roman"/>
                <w:b/>
                <w:szCs w:val="21"/>
              </w:rPr>
            </w:pPr>
          </w:p>
        </w:tc>
        <w:tc>
          <w:tcPr>
            <w:tcW w:w="1134" w:type="dxa"/>
            <w:vAlign w:val="center"/>
          </w:tcPr>
          <w:p w14:paraId="7FFEF3C2">
            <w:pPr>
              <w:widowControl/>
              <w:jc w:val="center"/>
              <w:textAlignment w:val="center"/>
              <w:rPr>
                <w:rFonts w:ascii="Times New Roman" w:hAnsi="Times New Roman" w:cs="Times New Roman"/>
                <w:b/>
                <w:szCs w:val="21"/>
              </w:rPr>
            </w:pPr>
          </w:p>
        </w:tc>
        <w:tc>
          <w:tcPr>
            <w:tcW w:w="1060" w:type="dxa"/>
            <w:vAlign w:val="center"/>
          </w:tcPr>
          <w:p w14:paraId="48513B82">
            <w:pPr>
              <w:spacing w:line="240" w:lineRule="exact"/>
              <w:jc w:val="center"/>
              <w:rPr>
                <w:rFonts w:ascii="Times New Roman" w:hAnsi="Times New Roman" w:cs="Times New Roman"/>
                <w:bCs/>
                <w:szCs w:val="21"/>
              </w:rPr>
            </w:pPr>
          </w:p>
        </w:tc>
      </w:tr>
      <w:tr w14:paraId="25CA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630" w:type="dxa"/>
            <w:vAlign w:val="center"/>
          </w:tcPr>
          <w:p w14:paraId="1ADD6EEF">
            <w:pPr>
              <w:widowControl/>
              <w:jc w:val="left"/>
              <w:textAlignment w:val="center"/>
              <w:rPr>
                <w:rFonts w:cs="仿宋" w:asciiTheme="minorEastAsia" w:hAnsiTheme="minorEastAsia"/>
                <w:b/>
                <w:szCs w:val="21"/>
              </w:rPr>
            </w:pPr>
          </w:p>
        </w:tc>
        <w:tc>
          <w:tcPr>
            <w:tcW w:w="1701" w:type="dxa"/>
            <w:vAlign w:val="center"/>
          </w:tcPr>
          <w:p w14:paraId="1098424C">
            <w:pPr>
              <w:widowControl/>
              <w:jc w:val="center"/>
              <w:textAlignment w:val="center"/>
              <w:rPr>
                <w:rFonts w:ascii="Times New Roman" w:hAnsi="Times New Roman" w:cs="Times New Roman"/>
                <w:b/>
                <w:szCs w:val="21"/>
              </w:rPr>
            </w:pPr>
          </w:p>
        </w:tc>
        <w:tc>
          <w:tcPr>
            <w:tcW w:w="2058" w:type="dxa"/>
            <w:vAlign w:val="center"/>
          </w:tcPr>
          <w:p w14:paraId="55063651">
            <w:pPr>
              <w:widowControl/>
              <w:jc w:val="center"/>
              <w:textAlignment w:val="center"/>
              <w:rPr>
                <w:rFonts w:ascii="Times New Roman" w:hAnsi="Times New Roman" w:cs="Times New Roman"/>
                <w:b/>
                <w:szCs w:val="21"/>
              </w:rPr>
            </w:pPr>
          </w:p>
        </w:tc>
        <w:tc>
          <w:tcPr>
            <w:tcW w:w="1769" w:type="dxa"/>
            <w:vAlign w:val="center"/>
          </w:tcPr>
          <w:p w14:paraId="3ECF3A13">
            <w:pPr>
              <w:widowControl/>
              <w:jc w:val="center"/>
              <w:textAlignment w:val="center"/>
              <w:rPr>
                <w:rFonts w:ascii="Times New Roman" w:hAnsi="Times New Roman" w:cs="Times New Roman"/>
                <w:b/>
                <w:szCs w:val="21"/>
              </w:rPr>
            </w:pPr>
          </w:p>
        </w:tc>
        <w:tc>
          <w:tcPr>
            <w:tcW w:w="1560" w:type="dxa"/>
            <w:vAlign w:val="center"/>
          </w:tcPr>
          <w:p w14:paraId="175FAB67">
            <w:pPr>
              <w:widowControl/>
              <w:jc w:val="center"/>
              <w:textAlignment w:val="center"/>
              <w:rPr>
                <w:rFonts w:ascii="Times New Roman" w:hAnsi="Times New Roman" w:cs="Times New Roman"/>
                <w:b/>
                <w:szCs w:val="21"/>
              </w:rPr>
            </w:pPr>
          </w:p>
        </w:tc>
        <w:tc>
          <w:tcPr>
            <w:tcW w:w="2483" w:type="dxa"/>
            <w:vAlign w:val="center"/>
          </w:tcPr>
          <w:p w14:paraId="4512C93C">
            <w:pPr>
              <w:widowControl/>
              <w:jc w:val="center"/>
              <w:textAlignment w:val="center"/>
              <w:rPr>
                <w:rFonts w:ascii="Times New Roman" w:hAnsi="Times New Roman" w:cs="Times New Roman"/>
                <w:b/>
                <w:szCs w:val="21"/>
              </w:rPr>
            </w:pPr>
          </w:p>
        </w:tc>
        <w:tc>
          <w:tcPr>
            <w:tcW w:w="1134" w:type="dxa"/>
            <w:vAlign w:val="center"/>
          </w:tcPr>
          <w:p w14:paraId="0152EC27">
            <w:pPr>
              <w:widowControl/>
              <w:jc w:val="center"/>
              <w:textAlignment w:val="center"/>
              <w:rPr>
                <w:rFonts w:ascii="Times New Roman" w:hAnsi="Times New Roman" w:cs="Times New Roman"/>
                <w:b/>
                <w:szCs w:val="21"/>
              </w:rPr>
            </w:pPr>
          </w:p>
        </w:tc>
        <w:tc>
          <w:tcPr>
            <w:tcW w:w="1060" w:type="dxa"/>
            <w:vAlign w:val="center"/>
          </w:tcPr>
          <w:p w14:paraId="62768E6B">
            <w:pPr>
              <w:spacing w:line="240" w:lineRule="exact"/>
              <w:jc w:val="center"/>
              <w:rPr>
                <w:rFonts w:ascii="Times New Roman" w:hAnsi="Times New Roman" w:cs="Times New Roman"/>
                <w:bCs/>
                <w:szCs w:val="21"/>
              </w:rPr>
            </w:pPr>
          </w:p>
        </w:tc>
      </w:tr>
      <w:tr w14:paraId="2AC3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1630" w:type="dxa"/>
            <w:vAlign w:val="center"/>
          </w:tcPr>
          <w:p w14:paraId="26765DDF">
            <w:pPr>
              <w:widowControl/>
              <w:jc w:val="left"/>
              <w:textAlignment w:val="center"/>
              <w:rPr>
                <w:rFonts w:cs="仿宋" w:asciiTheme="minorEastAsia" w:hAnsiTheme="minorEastAsia"/>
                <w:b/>
                <w:szCs w:val="21"/>
              </w:rPr>
            </w:pPr>
          </w:p>
        </w:tc>
        <w:tc>
          <w:tcPr>
            <w:tcW w:w="1701" w:type="dxa"/>
            <w:vAlign w:val="center"/>
          </w:tcPr>
          <w:p w14:paraId="13F32D41">
            <w:pPr>
              <w:widowControl/>
              <w:jc w:val="center"/>
              <w:textAlignment w:val="center"/>
              <w:rPr>
                <w:rFonts w:ascii="Times New Roman" w:hAnsi="Times New Roman" w:cs="Times New Roman"/>
                <w:b/>
                <w:szCs w:val="21"/>
              </w:rPr>
            </w:pPr>
          </w:p>
        </w:tc>
        <w:tc>
          <w:tcPr>
            <w:tcW w:w="2058" w:type="dxa"/>
            <w:vAlign w:val="center"/>
          </w:tcPr>
          <w:p w14:paraId="1FE5373A">
            <w:pPr>
              <w:widowControl/>
              <w:jc w:val="center"/>
              <w:textAlignment w:val="center"/>
              <w:rPr>
                <w:rFonts w:ascii="Times New Roman" w:hAnsi="Times New Roman" w:cs="Times New Roman"/>
                <w:b/>
                <w:szCs w:val="21"/>
              </w:rPr>
            </w:pPr>
          </w:p>
        </w:tc>
        <w:tc>
          <w:tcPr>
            <w:tcW w:w="1769" w:type="dxa"/>
            <w:vAlign w:val="center"/>
          </w:tcPr>
          <w:p w14:paraId="652CC68B">
            <w:pPr>
              <w:widowControl/>
              <w:jc w:val="center"/>
              <w:textAlignment w:val="center"/>
              <w:rPr>
                <w:rFonts w:ascii="Times New Roman" w:hAnsi="Times New Roman" w:cs="Times New Roman"/>
                <w:b/>
                <w:szCs w:val="21"/>
              </w:rPr>
            </w:pPr>
          </w:p>
        </w:tc>
        <w:tc>
          <w:tcPr>
            <w:tcW w:w="1560" w:type="dxa"/>
            <w:vAlign w:val="center"/>
          </w:tcPr>
          <w:p w14:paraId="263D79C9">
            <w:pPr>
              <w:widowControl/>
              <w:jc w:val="center"/>
              <w:textAlignment w:val="center"/>
              <w:rPr>
                <w:rFonts w:ascii="Times New Roman" w:hAnsi="Times New Roman" w:cs="Times New Roman"/>
                <w:b/>
                <w:szCs w:val="21"/>
              </w:rPr>
            </w:pPr>
          </w:p>
        </w:tc>
        <w:tc>
          <w:tcPr>
            <w:tcW w:w="2483" w:type="dxa"/>
            <w:vAlign w:val="center"/>
          </w:tcPr>
          <w:p w14:paraId="76AB259C">
            <w:pPr>
              <w:widowControl/>
              <w:jc w:val="center"/>
              <w:textAlignment w:val="center"/>
              <w:rPr>
                <w:rFonts w:ascii="Times New Roman" w:hAnsi="Times New Roman" w:cs="Times New Roman"/>
                <w:b/>
                <w:szCs w:val="21"/>
              </w:rPr>
            </w:pPr>
          </w:p>
        </w:tc>
        <w:tc>
          <w:tcPr>
            <w:tcW w:w="1134" w:type="dxa"/>
            <w:vAlign w:val="center"/>
          </w:tcPr>
          <w:p w14:paraId="411BBBAA">
            <w:pPr>
              <w:widowControl/>
              <w:jc w:val="center"/>
              <w:textAlignment w:val="center"/>
              <w:rPr>
                <w:rFonts w:ascii="Times New Roman" w:hAnsi="Times New Roman" w:cs="Times New Roman"/>
                <w:b/>
                <w:szCs w:val="21"/>
              </w:rPr>
            </w:pPr>
          </w:p>
        </w:tc>
        <w:tc>
          <w:tcPr>
            <w:tcW w:w="1060" w:type="dxa"/>
            <w:vAlign w:val="center"/>
          </w:tcPr>
          <w:p w14:paraId="74160267">
            <w:pPr>
              <w:spacing w:line="240" w:lineRule="exact"/>
              <w:jc w:val="center"/>
              <w:rPr>
                <w:rFonts w:ascii="Times New Roman" w:hAnsi="Times New Roman" w:cs="Times New Roman"/>
                <w:bCs/>
                <w:szCs w:val="21"/>
              </w:rPr>
            </w:pPr>
          </w:p>
        </w:tc>
      </w:tr>
    </w:tbl>
    <w:p w14:paraId="200AF5F1">
      <w:pPr>
        <w:rPr>
          <w:rFonts w:ascii="仿宋" w:hAnsi="仿宋" w:eastAsia="仿宋" w:cs="Times New Roman"/>
          <w:bCs/>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54831EF-F20A-4ACD-9059-D3CA237625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D40E188-6AF5-4B79-980C-EF22081097ED}"/>
  </w:font>
  <w:font w:name="仿宋">
    <w:panose1 w:val="02010609060101010101"/>
    <w:charset w:val="86"/>
    <w:family w:val="modern"/>
    <w:pitch w:val="default"/>
    <w:sig w:usb0="800002BF" w:usb1="38CF7CFA" w:usb2="00000016" w:usb3="00000000" w:csb0="00040001" w:csb1="00000000"/>
    <w:embedRegular r:id="rId3" w:fontKey="{65A0DDFB-5CB8-42C4-8B3A-35B5D7760B03}"/>
  </w:font>
  <w:font w:name="楷体">
    <w:panose1 w:val="02010609060101010101"/>
    <w:charset w:val="86"/>
    <w:family w:val="modern"/>
    <w:pitch w:val="default"/>
    <w:sig w:usb0="800002BF" w:usb1="38CF7CFA" w:usb2="00000016" w:usb3="00000000" w:csb0="00040001" w:csb1="00000000"/>
    <w:embedRegular r:id="rId4" w:fontKey="{3A5E4A9D-6F3A-4E3C-97F0-1AC131F1E9C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414700"/>
      <w:docPartObj>
        <w:docPartGallery w:val="AutoText"/>
      </w:docPartObj>
    </w:sdtPr>
    <w:sdtContent>
      <w:p w14:paraId="5F5D74E2">
        <w:pPr>
          <w:pStyle w:val="4"/>
          <w:jc w:val="center"/>
        </w:pPr>
        <w:r>
          <w:fldChar w:fldCharType="begin"/>
        </w:r>
        <w:r>
          <w:instrText xml:space="preserve">PAGE   \* MERGEFORMAT</w:instrText>
        </w:r>
        <w:r>
          <w:fldChar w:fldCharType="separate"/>
        </w:r>
        <w:r>
          <w:rPr>
            <w:lang w:val="zh-CN"/>
          </w:rPr>
          <w:t>6</w:t>
        </w:r>
        <w:r>
          <w:fldChar w:fldCharType="end"/>
        </w:r>
      </w:p>
    </w:sdtContent>
  </w:sdt>
  <w:p w14:paraId="6215AF1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288AD"/>
    <w:multiLevelType w:val="singleLevel"/>
    <w:tmpl w:val="F4C288A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EF9"/>
    <w:rsid w:val="00056182"/>
    <w:rsid w:val="00122512"/>
    <w:rsid w:val="00210EF9"/>
    <w:rsid w:val="004027F9"/>
    <w:rsid w:val="00434670"/>
    <w:rsid w:val="005440D2"/>
    <w:rsid w:val="00581281"/>
    <w:rsid w:val="006B5569"/>
    <w:rsid w:val="00740D53"/>
    <w:rsid w:val="007A55CA"/>
    <w:rsid w:val="00913091"/>
    <w:rsid w:val="009562C0"/>
    <w:rsid w:val="00A91947"/>
    <w:rsid w:val="00C02308"/>
    <w:rsid w:val="00D06BA4"/>
    <w:rsid w:val="00F91967"/>
    <w:rsid w:val="076E5FA5"/>
    <w:rsid w:val="48825005"/>
    <w:rsid w:val="7E1C6FFA"/>
    <w:rsid w:val="7F6E3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iPriority w:val="0"/>
    <w:pPr>
      <w:jc w:val="left"/>
    </w:pPr>
  </w:style>
  <w:style w:type="paragraph" w:styleId="3">
    <w:name w:val="Balloon Text"/>
    <w:basedOn w:val="1"/>
    <w:link w:val="16"/>
    <w:uiPriority w:val="0"/>
    <w:rPr>
      <w:sz w:val="18"/>
      <w:szCs w:val="18"/>
    </w:rPr>
  </w:style>
  <w:style w:type="paragraph" w:styleId="4">
    <w:name w:val="footer"/>
    <w:basedOn w:val="1"/>
    <w:link w:val="13"/>
    <w:uiPriority w:val="99"/>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iPriority w:val="0"/>
    <w:rPr>
      <w:b/>
      <w:bCs/>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annotation reference"/>
    <w:basedOn w:val="9"/>
    <w:uiPriority w:val="0"/>
    <w:rPr>
      <w:sz w:val="21"/>
      <w:szCs w:val="21"/>
    </w:rPr>
  </w:style>
  <w:style w:type="character" w:customStyle="1" w:styleId="12">
    <w:name w:val="页眉 字符"/>
    <w:basedOn w:val="9"/>
    <w:link w:val="5"/>
    <w:uiPriority w:val="0"/>
    <w:rPr>
      <w:rFonts w:asciiTheme="minorHAnsi" w:hAnsiTheme="minorHAnsi" w:eastAsiaTheme="minorEastAsia" w:cstheme="minorBidi"/>
      <w:kern w:val="2"/>
      <w:sz w:val="18"/>
      <w:szCs w:val="18"/>
    </w:rPr>
  </w:style>
  <w:style w:type="character" w:customStyle="1" w:styleId="13">
    <w:name w:val="页脚 字符"/>
    <w:basedOn w:val="9"/>
    <w:link w:val="4"/>
    <w:uiPriority w:val="99"/>
    <w:rPr>
      <w:rFonts w:asciiTheme="minorHAnsi" w:hAnsiTheme="minorHAnsi" w:eastAsiaTheme="minorEastAsia" w:cstheme="minorBidi"/>
      <w:kern w:val="2"/>
      <w:sz w:val="18"/>
      <w:szCs w:val="18"/>
    </w:rPr>
  </w:style>
  <w:style w:type="character" w:customStyle="1" w:styleId="14">
    <w:name w:val="批注文字 字符"/>
    <w:basedOn w:val="9"/>
    <w:link w:val="2"/>
    <w:uiPriority w:val="0"/>
    <w:rPr>
      <w:rFonts w:asciiTheme="minorHAnsi" w:hAnsiTheme="minorHAnsi" w:eastAsiaTheme="minorEastAsia" w:cstheme="minorBidi"/>
      <w:kern w:val="2"/>
      <w:sz w:val="21"/>
      <w:szCs w:val="24"/>
    </w:rPr>
  </w:style>
  <w:style w:type="character" w:customStyle="1" w:styleId="15">
    <w:name w:val="批注主题 字符"/>
    <w:basedOn w:val="14"/>
    <w:link w:val="6"/>
    <w:uiPriority w:val="0"/>
    <w:rPr>
      <w:rFonts w:asciiTheme="minorHAnsi" w:hAnsiTheme="minorHAnsi" w:eastAsiaTheme="minorEastAsia" w:cstheme="minorBidi"/>
      <w:b/>
      <w:bCs/>
      <w:kern w:val="2"/>
      <w:sz w:val="21"/>
      <w:szCs w:val="24"/>
    </w:rPr>
  </w:style>
  <w:style w:type="character" w:customStyle="1" w:styleId="16">
    <w:name w:val="批注框文本 字符"/>
    <w:basedOn w:val="9"/>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2352</Words>
  <Characters>2392</Characters>
  <Lines>17</Lines>
  <Paragraphs>4</Paragraphs>
  <TotalTime>0</TotalTime>
  <ScaleCrop>false</ScaleCrop>
  <LinksUpToDate>false</LinksUpToDate>
  <CharactersWithSpaces>2394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2024-12-25T01:30:00Z</dcterms:created>
  <dc:creator>think</dc:creator>
  <cp:lastModifiedBy>楠</cp:lastModifiedBy>
  <dcterms:modified xsi:type="dcterms:W3CDTF">2024-12-25T09:39:54Z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7FEFCD9180564088A0E5A5B8913BBCD1_12</vt:lpwstr>
  </property>
</Properties>
</file>